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7B76A5" w14:textId="4279EE22" w:rsidR="00C82732" w:rsidRPr="0052548E" w:rsidRDefault="00C82732" w:rsidP="00C82732">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#92</w:t>
      </w:r>
      <w:r>
        <w:rPr>
          <w:rFonts w:ascii="Arial" w:hAnsi="Arial" w:cs="Arial"/>
          <w:b/>
          <w:bCs/>
          <w:sz w:val="28"/>
        </w:rPr>
        <w:tab/>
      </w:r>
      <w:r>
        <w:rPr>
          <w:rFonts w:ascii="Arial" w:hAnsi="Arial" w:cs="Arial"/>
          <w:b/>
          <w:bCs/>
          <w:sz w:val="28"/>
        </w:rPr>
        <w:tab/>
      </w:r>
      <w:r>
        <w:rPr>
          <w:rFonts w:ascii="Arial" w:hAnsi="Arial" w:cs="Arial"/>
          <w:b/>
          <w:bCs/>
          <w:sz w:val="28"/>
        </w:rPr>
        <w:tab/>
      </w:r>
      <w:r w:rsidR="00C16119" w:rsidRPr="00C16119">
        <w:rPr>
          <w:rFonts w:ascii="Arial" w:hAnsi="Arial" w:cs="Arial"/>
          <w:b/>
          <w:bCs/>
          <w:sz w:val="28"/>
        </w:rPr>
        <w:t>R1-1802328</w:t>
      </w:r>
      <w:bookmarkStart w:id="0" w:name="_GoBack"/>
      <w:bookmarkEnd w:id="0"/>
    </w:p>
    <w:p w14:paraId="04838D22" w14:textId="77777777" w:rsidR="00C82732" w:rsidRPr="009513AC" w:rsidRDefault="00C82732" w:rsidP="00C8273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 February 26</w:t>
      </w:r>
      <w:r w:rsidRPr="004D56C7">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March 2</w:t>
      </w:r>
      <w:r w:rsidRPr="004D56C7">
        <w:rPr>
          <w:rFonts w:ascii="Arial" w:eastAsia="MS Mincho" w:hAnsi="Arial" w:cs="Arial"/>
          <w:b/>
          <w:bCs/>
          <w:sz w:val="28"/>
          <w:vertAlign w:val="superscript"/>
          <w:lang w:eastAsia="ja-JP"/>
        </w:rPr>
        <w:t>nd</w:t>
      </w:r>
      <w:r>
        <w:rPr>
          <w:rFonts w:ascii="Arial" w:eastAsia="MS Mincho" w:hAnsi="Arial" w:cs="Arial"/>
          <w:b/>
          <w:bCs/>
          <w:sz w:val="28"/>
          <w:lang w:eastAsia="ja-JP"/>
        </w:rPr>
        <w:t xml:space="preserve">, 2018 </w:t>
      </w:r>
    </w:p>
    <w:p w14:paraId="26881B34" w14:textId="77777777" w:rsidR="0068226B" w:rsidRPr="000A64D8" w:rsidRDefault="0068226B" w:rsidP="00480B03">
      <w:pPr>
        <w:pStyle w:val="Footer"/>
        <w:jc w:val="both"/>
        <w:rPr>
          <w:noProof w:val="0"/>
        </w:rPr>
      </w:pPr>
    </w:p>
    <w:p w14:paraId="26881B35" w14:textId="26970B29"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587D0C" w:rsidRPr="00587D0C">
        <w:rPr>
          <w:rFonts w:ascii="Arial" w:hAnsi="Arial"/>
          <w:sz w:val="24"/>
        </w:rPr>
        <w:t>6.2.5.5</w:t>
      </w:r>
    </w:p>
    <w:p w14:paraId="26881B36"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26881B37" w14:textId="07AFAFEF" w:rsidR="00C10599" w:rsidRPr="003570F9" w:rsidRDefault="0068226B" w:rsidP="00EB05DC">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587D0C" w:rsidRPr="00587D0C">
        <w:rPr>
          <w:rFonts w:ascii="Arial" w:hAnsi="Arial"/>
          <w:sz w:val="24"/>
        </w:rPr>
        <w:t>CQI table for 64-QAM</w:t>
      </w:r>
    </w:p>
    <w:p w14:paraId="26881B38"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sidR="00272736">
        <w:rPr>
          <w:rFonts w:ascii="Arial" w:hAnsi="Arial"/>
          <w:sz w:val="24"/>
        </w:rPr>
        <w:t>/Decision</w:t>
      </w:r>
    </w:p>
    <w:p w14:paraId="26881B39" w14:textId="77777777" w:rsidR="00C34C05" w:rsidRPr="00183CB7" w:rsidRDefault="00FD6A3D" w:rsidP="00183CB7">
      <w:pPr>
        <w:pStyle w:val="Heading1"/>
      </w:pPr>
      <w:r w:rsidRPr="00183CB7">
        <w:t>Introduction</w:t>
      </w:r>
    </w:p>
    <w:p w14:paraId="1AC4EF3D" w14:textId="5C3943F9" w:rsidR="00536814" w:rsidRDefault="00587D0C" w:rsidP="003570F9">
      <w:pPr>
        <w:jc w:val="both"/>
      </w:pPr>
      <w:r>
        <w:t>In RAN1#91, the following working assumptions were reached:</w:t>
      </w:r>
    </w:p>
    <w:p w14:paraId="71598BC9" w14:textId="77777777" w:rsidR="00587D0C" w:rsidRPr="00DF0C8F" w:rsidRDefault="00587D0C" w:rsidP="00587D0C">
      <w:pPr>
        <w:rPr>
          <w:rFonts w:eastAsia="Yu Mincho"/>
          <w:lang w:eastAsia="ja-JP"/>
        </w:rPr>
      </w:pPr>
      <w:r w:rsidRPr="00DF0C8F">
        <w:rPr>
          <w:rFonts w:eastAsia="Yu Mincho"/>
          <w:highlight w:val="darkYellow"/>
          <w:lang w:eastAsia="ja-JP"/>
        </w:rPr>
        <w:t>Working assumption</w:t>
      </w:r>
    </w:p>
    <w:p w14:paraId="135497DB" w14:textId="77777777" w:rsidR="00587D0C" w:rsidRPr="00B94CA0" w:rsidRDefault="00587D0C" w:rsidP="00587D0C">
      <w:pPr>
        <w:pStyle w:val="ListParagraph"/>
        <w:numPr>
          <w:ilvl w:val="0"/>
          <w:numId w:val="10"/>
        </w:numPr>
        <w:overflowPunct w:val="0"/>
        <w:autoSpaceDE w:val="0"/>
        <w:autoSpaceDN w:val="0"/>
        <w:adjustRightInd w:val="0"/>
        <w:spacing w:after="180"/>
        <w:contextualSpacing/>
        <w:textAlignment w:val="baseline"/>
        <w:rPr>
          <w:rFonts w:ascii="Times New Roman" w:eastAsia="SimSun" w:hAnsi="Times New Roman"/>
          <w:sz w:val="20"/>
          <w:szCs w:val="20"/>
        </w:rPr>
      </w:pPr>
      <w:r w:rsidRPr="00B94CA0">
        <w:rPr>
          <w:rFonts w:ascii="Times New Roman" w:eastAsia="SimSun" w:hAnsi="Times New Roman"/>
          <w:sz w:val="20"/>
          <w:szCs w:val="20"/>
        </w:rPr>
        <w:t>When a UE is configured both with 64QAM and csi-NumRepetitionCE-r13 &gt; 1,</w:t>
      </w:r>
    </w:p>
    <w:p w14:paraId="2F526D86" w14:textId="77777777" w:rsidR="00587D0C" w:rsidRPr="00B94CA0" w:rsidRDefault="00587D0C" w:rsidP="00587D0C">
      <w:pPr>
        <w:pStyle w:val="ListParagraph"/>
        <w:numPr>
          <w:ilvl w:val="1"/>
          <w:numId w:val="10"/>
        </w:numPr>
        <w:overflowPunct w:val="0"/>
        <w:autoSpaceDE w:val="0"/>
        <w:autoSpaceDN w:val="0"/>
        <w:adjustRightInd w:val="0"/>
        <w:spacing w:after="180"/>
        <w:contextualSpacing/>
        <w:textAlignment w:val="baseline"/>
        <w:rPr>
          <w:rFonts w:ascii="Times New Roman" w:eastAsia="SimSun" w:hAnsi="Times New Roman"/>
          <w:sz w:val="20"/>
          <w:szCs w:val="20"/>
        </w:rPr>
      </w:pPr>
      <w:r w:rsidRPr="00B94CA0">
        <w:rPr>
          <w:rFonts w:ascii="Times New Roman" w:eastAsia="SimSun" w:hAnsi="Times New Roman"/>
          <w:sz w:val="20"/>
          <w:szCs w:val="20"/>
        </w:rPr>
        <w:t>A single CQI table covers the range from QPSK with 32 times repetition up to 64QAM without repetition</w:t>
      </w:r>
    </w:p>
    <w:p w14:paraId="6DEFC376" w14:textId="77777777" w:rsidR="00587D0C" w:rsidRPr="00DF0C8F" w:rsidRDefault="00587D0C" w:rsidP="00587D0C">
      <w:pPr>
        <w:rPr>
          <w:rFonts w:eastAsia="Yu Mincho"/>
          <w:lang w:eastAsia="ja-JP"/>
        </w:rPr>
      </w:pPr>
      <w:r w:rsidRPr="00DF0C8F">
        <w:rPr>
          <w:rFonts w:eastAsia="Yu Mincho"/>
          <w:highlight w:val="darkYellow"/>
          <w:lang w:eastAsia="ja-JP"/>
        </w:rPr>
        <w:t>Working assumption</w:t>
      </w:r>
    </w:p>
    <w:p w14:paraId="222A8480" w14:textId="77777777" w:rsidR="00587D0C" w:rsidRPr="00B94CA0" w:rsidRDefault="00587D0C" w:rsidP="00587D0C">
      <w:pPr>
        <w:pStyle w:val="ListParagraph"/>
        <w:numPr>
          <w:ilvl w:val="0"/>
          <w:numId w:val="10"/>
        </w:numPr>
        <w:overflowPunct w:val="0"/>
        <w:autoSpaceDE w:val="0"/>
        <w:autoSpaceDN w:val="0"/>
        <w:adjustRightInd w:val="0"/>
        <w:spacing w:after="180"/>
        <w:contextualSpacing/>
        <w:textAlignment w:val="baseline"/>
        <w:rPr>
          <w:rFonts w:ascii="Times New Roman" w:eastAsia="SimSun" w:hAnsi="Times New Roman"/>
          <w:sz w:val="20"/>
          <w:szCs w:val="20"/>
        </w:rPr>
      </w:pPr>
      <w:proofErr w:type="spellStart"/>
      <w:r w:rsidRPr="00B94CA0">
        <w:rPr>
          <w:rFonts w:ascii="Times New Roman" w:eastAsia="SimSun" w:hAnsi="Times New Roman"/>
          <w:sz w:val="20"/>
          <w:szCs w:val="20"/>
        </w:rPr>
        <w:t>eNodeB</w:t>
      </w:r>
      <w:proofErr w:type="spellEnd"/>
      <w:r w:rsidRPr="00B94CA0">
        <w:rPr>
          <w:rFonts w:ascii="Times New Roman" w:eastAsia="SimSun" w:hAnsi="Times New Roman"/>
          <w:sz w:val="20"/>
          <w:szCs w:val="20"/>
        </w:rPr>
        <w:t xml:space="preserve"> can optionally configure the UE to use the option B CQI table at least for 64QAM capable UE irrespective of whether 64QAM is configured or not</w:t>
      </w:r>
    </w:p>
    <w:p w14:paraId="74A62BE8" w14:textId="469A6227" w:rsidR="00587D0C" w:rsidRDefault="00B94CA0" w:rsidP="003570F9">
      <w:pPr>
        <w:jc w:val="both"/>
      </w:pPr>
      <w:r>
        <w:t>In this contribution we present our view on the remaining issues for 64-QAM CQI table.</w:t>
      </w:r>
    </w:p>
    <w:p w14:paraId="6A808625" w14:textId="532CACAD" w:rsidR="007D7698" w:rsidRDefault="00A55AF1" w:rsidP="00564597">
      <w:pPr>
        <w:pStyle w:val="Heading1"/>
      </w:pPr>
      <w:r>
        <w:t>Discussion</w:t>
      </w:r>
      <w:r w:rsidR="00AC5978">
        <w:t xml:space="preserve"> </w:t>
      </w:r>
      <w:r w:rsidR="00050E7D">
        <w:t>on working assumption</w:t>
      </w:r>
    </w:p>
    <w:p w14:paraId="47551BB9" w14:textId="048E02D0" w:rsidR="00587D0C" w:rsidRDefault="00B94CA0" w:rsidP="00587D0C">
      <w:pPr>
        <w:rPr>
          <w:lang w:val="en-GB"/>
        </w:rPr>
      </w:pPr>
      <w:r>
        <w:rPr>
          <w:lang w:val="en-GB"/>
        </w:rPr>
        <w:t xml:space="preserve">For the reasons presented in RAN1#91, it is clear that a new CQI table would be beneficial for the case when </w:t>
      </w:r>
      <w:r w:rsidRPr="00B94CA0">
        <w:rPr>
          <w:i/>
          <w:lang w:val="en-GB"/>
        </w:rPr>
        <w:t>csi-NumRepetitionCE-13</w:t>
      </w:r>
      <w:r w:rsidRPr="00B94CA0">
        <w:rPr>
          <w:lang w:val="en-GB"/>
        </w:rPr>
        <w:t>&gt;1</w:t>
      </w:r>
      <w:r>
        <w:rPr>
          <w:lang w:val="en-GB"/>
        </w:rPr>
        <w:t xml:space="preserve">. The alternative solution (assuming different number of repetitions for 64-QAM) would create large gaps in SNR that would decrease the PDSCH throughput. Thus, we propose to confirm the working assumption of </w:t>
      </w:r>
    </w:p>
    <w:p w14:paraId="0B8775CA" w14:textId="406D01D2" w:rsidR="00B94CA0" w:rsidRDefault="00587D0C" w:rsidP="00587D0C">
      <w:pPr>
        <w:rPr>
          <w:b/>
          <w:lang w:val="en-GB"/>
        </w:rPr>
      </w:pPr>
      <w:r w:rsidRPr="00B94CA0">
        <w:rPr>
          <w:b/>
          <w:u w:val="single"/>
          <w:lang w:val="en-GB"/>
        </w:rPr>
        <w:t>Proposal</w:t>
      </w:r>
      <w:r w:rsidR="00B94CA0">
        <w:rPr>
          <w:b/>
          <w:u w:val="single"/>
          <w:lang w:val="en-GB"/>
        </w:rPr>
        <w:t xml:space="preserve"> 1</w:t>
      </w:r>
      <w:r w:rsidRPr="00B94CA0">
        <w:rPr>
          <w:b/>
          <w:u w:val="single"/>
          <w:lang w:val="en-GB"/>
        </w:rPr>
        <w:t>:</w:t>
      </w:r>
      <w:r w:rsidR="00B94CA0" w:rsidRPr="00B94CA0">
        <w:rPr>
          <w:b/>
          <w:lang w:val="en-GB"/>
        </w:rPr>
        <w:t xml:space="preserve"> Confirm the working assumption from RAN1#91:</w:t>
      </w:r>
    </w:p>
    <w:p w14:paraId="0D99625C" w14:textId="77777777" w:rsidR="00B94CA0" w:rsidRPr="00B94CA0" w:rsidRDefault="00B94CA0" w:rsidP="00B94CA0">
      <w:pPr>
        <w:pStyle w:val="ListParagraph"/>
        <w:numPr>
          <w:ilvl w:val="0"/>
          <w:numId w:val="10"/>
        </w:numPr>
        <w:overflowPunct w:val="0"/>
        <w:autoSpaceDE w:val="0"/>
        <w:autoSpaceDN w:val="0"/>
        <w:adjustRightInd w:val="0"/>
        <w:spacing w:after="180"/>
        <w:contextualSpacing/>
        <w:textAlignment w:val="baseline"/>
        <w:rPr>
          <w:rFonts w:ascii="Times New Roman" w:eastAsia="SimSun" w:hAnsi="Times New Roman"/>
          <w:b/>
          <w:sz w:val="20"/>
          <w:szCs w:val="20"/>
          <w:lang w:val="en-GB"/>
        </w:rPr>
      </w:pPr>
      <w:r w:rsidRPr="00B94CA0">
        <w:rPr>
          <w:rFonts w:ascii="Times New Roman" w:eastAsia="SimSun" w:hAnsi="Times New Roman"/>
          <w:b/>
          <w:sz w:val="20"/>
          <w:szCs w:val="20"/>
          <w:lang w:val="en-GB"/>
        </w:rPr>
        <w:tab/>
        <w:t>When a UE is configured both with 64QAM and csi-NumRepetitionCE-r13 &gt; 1,</w:t>
      </w:r>
    </w:p>
    <w:p w14:paraId="505F1C97" w14:textId="77777777" w:rsidR="00B94CA0" w:rsidRPr="00B94CA0" w:rsidRDefault="00B94CA0" w:rsidP="00B94CA0">
      <w:pPr>
        <w:pStyle w:val="ListParagraph"/>
        <w:numPr>
          <w:ilvl w:val="1"/>
          <w:numId w:val="10"/>
        </w:numPr>
        <w:overflowPunct w:val="0"/>
        <w:autoSpaceDE w:val="0"/>
        <w:autoSpaceDN w:val="0"/>
        <w:adjustRightInd w:val="0"/>
        <w:spacing w:after="180"/>
        <w:contextualSpacing/>
        <w:textAlignment w:val="baseline"/>
        <w:rPr>
          <w:rFonts w:ascii="Times New Roman" w:eastAsia="SimSun" w:hAnsi="Times New Roman"/>
          <w:b/>
          <w:sz w:val="20"/>
          <w:szCs w:val="20"/>
          <w:lang w:val="en-GB"/>
        </w:rPr>
      </w:pPr>
      <w:r w:rsidRPr="00B94CA0">
        <w:rPr>
          <w:rFonts w:ascii="Times New Roman" w:eastAsia="SimSun" w:hAnsi="Times New Roman"/>
          <w:b/>
          <w:sz w:val="20"/>
          <w:szCs w:val="20"/>
          <w:lang w:val="en-GB"/>
        </w:rPr>
        <w:t>A single CQI table covers the range from QPSK with 32 times repetition up to 64QAM without repetition</w:t>
      </w:r>
    </w:p>
    <w:p w14:paraId="23D29401" w14:textId="505073A6" w:rsidR="00B94CA0" w:rsidRPr="00D25DD4" w:rsidRDefault="00D25DD4" w:rsidP="00587D0C">
      <w:r w:rsidRPr="00D25DD4">
        <w:t xml:space="preserve">For the </w:t>
      </w:r>
      <w:r>
        <w:t xml:space="preserve">second working assumption, in case it is confirmed, it seems more beneficial to keep the table only up to 16-QAM, since a UE not configured with 64-QAM cannot be </w:t>
      </w:r>
      <w:r w:rsidR="00050E7D">
        <w:t xml:space="preserve">scheduled with this modulation scheme. Also, and similarly to the 64-QAM case, </w:t>
      </w:r>
    </w:p>
    <w:p w14:paraId="038D068B" w14:textId="1DFF22BA" w:rsidR="00B94CA0" w:rsidRPr="00D25DD4" w:rsidRDefault="00B94CA0" w:rsidP="00587D0C">
      <w:pPr>
        <w:rPr>
          <w:b/>
        </w:rPr>
      </w:pPr>
      <w:r w:rsidRPr="00B94CA0">
        <w:rPr>
          <w:b/>
          <w:u w:val="single"/>
        </w:rPr>
        <w:t>Proposal 2:</w:t>
      </w:r>
      <w:r w:rsidR="00D25DD4">
        <w:rPr>
          <w:b/>
          <w:u w:val="single"/>
        </w:rPr>
        <w:t xml:space="preserve"> </w:t>
      </w:r>
      <w:r w:rsidR="00D25DD4">
        <w:rPr>
          <w:b/>
        </w:rPr>
        <w:t xml:space="preserve">In case the second working assumption is confirmed, the alternative CQI table should have entries from QPSK with 32 times repetition up to 16QAM with repetition (instead of 64QAM). This table would be applicable only if </w:t>
      </w:r>
      <w:r w:rsidR="00D25DD4" w:rsidRPr="00D25DD4">
        <w:rPr>
          <w:b/>
          <w:i/>
          <w:lang w:val="en-GB"/>
        </w:rPr>
        <w:t>csi-NumRepetitionCE-r13</w:t>
      </w:r>
      <w:r w:rsidR="00D25DD4" w:rsidRPr="00B94CA0">
        <w:rPr>
          <w:b/>
          <w:lang w:val="en-GB"/>
        </w:rPr>
        <w:t xml:space="preserve"> &gt; 1</w:t>
      </w:r>
      <w:r w:rsidR="00D25DD4">
        <w:rPr>
          <w:b/>
          <w:lang w:val="en-GB"/>
        </w:rPr>
        <w:t xml:space="preserve"> + a second RRC parameter is configured.</w:t>
      </w:r>
    </w:p>
    <w:p w14:paraId="21472799" w14:textId="71861109" w:rsidR="00B94CA0" w:rsidRDefault="00B94CA0" w:rsidP="00587D0C">
      <w:pPr>
        <w:rPr>
          <w:b/>
          <w:u w:val="single"/>
          <w:lang w:val="en-GB"/>
        </w:rPr>
      </w:pPr>
    </w:p>
    <w:p w14:paraId="75EFED10" w14:textId="53E4591C" w:rsidR="00050E7D" w:rsidRDefault="00050E7D" w:rsidP="00050E7D">
      <w:pPr>
        <w:pStyle w:val="Heading1"/>
      </w:pPr>
      <w:r>
        <w:t>Discussion on support of frequency hopping</w:t>
      </w:r>
    </w:p>
    <w:p w14:paraId="38DDDCC6" w14:textId="77777777" w:rsidR="00050E7D" w:rsidRDefault="00050E7D" w:rsidP="00050E7D">
      <w:pPr>
        <w:jc w:val="both"/>
      </w:pPr>
      <w:r>
        <w:t>One particular thing to take into account is that</w:t>
      </w:r>
      <w:r w:rsidRPr="00475733">
        <w:t xml:space="preserve"> </w:t>
      </w:r>
      <w:r w:rsidRPr="00475733">
        <w:rPr>
          <w:i/>
        </w:rPr>
        <w:t xml:space="preserve">csi-NumRepetitionCE-r13 </w:t>
      </w:r>
      <w:r>
        <w:t>does not give the CSI reference resource directly, but instead it is used to derive it. For example, from TS 36.213:</w:t>
      </w:r>
    </w:p>
    <w:p w14:paraId="326B621C" w14:textId="77777777" w:rsidR="00050E7D" w:rsidRDefault="00050E7D" w:rsidP="00050E7D">
      <w:pPr>
        <w:jc w:val="both"/>
      </w:pPr>
      <w:r>
        <w:rPr>
          <w:noProof/>
        </w:rPr>
        <w:lastRenderedPageBreak/>
        <mc:AlternateContent>
          <mc:Choice Requires="wps">
            <w:drawing>
              <wp:inline distT="0" distB="0" distL="0" distR="0" wp14:anchorId="2FCD34CF" wp14:editId="6E6FBE17">
                <wp:extent cx="5593278" cy="1404620"/>
                <wp:effectExtent l="0" t="0" r="26670"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93278" cy="1404620"/>
                        </a:xfrm>
                        <a:prstGeom prst="rect">
                          <a:avLst/>
                        </a:prstGeom>
                        <a:solidFill>
                          <a:srgbClr val="FFFFFF"/>
                        </a:solidFill>
                        <a:ln w="9525">
                          <a:solidFill>
                            <a:srgbClr val="000000"/>
                          </a:solidFill>
                          <a:miter lim="800000"/>
                          <a:headEnd/>
                          <a:tailEnd/>
                        </a:ln>
                      </wps:spPr>
                      <wps:txbx>
                        <w:txbxContent>
                          <w:p w14:paraId="276AF4C5" w14:textId="77777777" w:rsidR="00050E7D" w:rsidRDefault="00050E7D" w:rsidP="00050E7D">
                            <w:pPr>
                              <w:pStyle w:val="B4"/>
                            </w:pPr>
                            <w:r>
                              <w:rPr>
                                <w:lang w:eastAsia="zh-CN"/>
                              </w:rPr>
                              <w:t xml:space="preserve">The set of BL/CE downlink or special subframes is the set of the last </w:t>
                            </w:r>
                            <w:r w:rsidRPr="003452A6">
                              <w:rPr>
                                <w:rFonts w:ascii="Bookman Old Style" w:hAnsi="Bookman Old Style"/>
                                <w:position w:val="-14"/>
                                <w:lang w:eastAsia="en-GB"/>
                              </w:rPr>
                              <w:object w:dxaOrig="1600" w:dyaOrig="385" w14:anchorId="49750C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80pt;height:19.25pt" fillcolor="window">
                                  <v:imagedata r:id="rId12" o:title=""/>
                                </v:shape>
                                <o:OLEObject Type="Embed" ProgID="Equation.3" ShapeID="_x0000_i1026" DrawAspect="Content" ObjectID="_1580312126" r:id="rId13"/>
                              </w:object>
                            </w:r>
                            <w:r>
                              <w:rPr>
                                <w:rFonts w:ascii="Bookman Old Style" w:hAnsi="Bookman Old Style"/>
                              </w:rPr>
                              <w:t xml:space="preserve"> </w:t>
                            </w:r>
                            <w:r w:rsidRPr="00855A20">
                              <w:rPr>
                                <w:lang w:eastAsia="zh-CN"/>
                              </w:rPr>
                              <w:t>subfram</w:t>
                            </w:r>
                            <w:r>
                              <w:rPr>
                                <w:lang w:eastAsia="zh-CN"/>
                              </w:rPr>
                              <w:t xml:space="preserve">es before </w:t>
                            </w:r>
                            <w:r w:rsidRPr="00E9040D">
                              <w:rPr>
                                <w:i/>
                              </w:rPr>
                              <w:t>n</w:t>
                            </w:r>
                            <w:r w:rsidRPr="00E9040D">
                              <w:t>-</w:t>
                            </w:r>
                            <w:proofErr w:type="spellStart"/>
                            <w:r w:rsidRPr="00E9040D">
                              <w:rPr>
                                <w:i/>
                              </w:rPr>
                              <w:t>n</w:t>
                            </w:r>
                            <w:r w:rsidRPr="00E9040D">
                              <w:rPr>
                                <w:i/>
                                <w:vertAlign w:val="subscript"/>
                              </w:rPr>
                              <w:t>CQI_ref</w:t>
                            </w:r>
                            <w:proofErr w:type="spellEnd"/>
                            <w:r>
                              <w:rPr>
                                <w:i/>
                                <w:vertAlign w:val="subscript"/>
                              </w:rPr>
                              <w:t xml:space="preserve"> </w:t>
                            </w:r>
                            <w:r>
                              <w:rPr>
                                <w:lang w:eastAsia="zh-CN"/>
                              </w:rPr>
                              <w:t xml:space="preserve"> used for MPDCCH monitoring by the BL/CE UE in each of the </w:t>
                            </w:r>
                            <w:proofErr w:type="spellStart"/>
                            <w:r>
                              <w:rPr>
                                <w:lang w:eastAsia="zh-CN"/>
                              </w:rPr>
                              <w:t>narrowbands</w:t>
                            </w:r>
                            <w:proofErr w:type="spellEnd"/>
                            <w:r>
                              <w:rPr>
                                <w:lang w:eastAsia="zh-CN"/>
                              </w:rPr>
                              <w:t xml:space="preserve"> </w:t>
                            </w:r>
                            <w:r w:rsidRPr="003F7060">
                              <w:t>where the BL/CE UE monitors MPDCCH</w:t>
                            </w:r>
                            <w:r>
                              <w:rPr>
                                <w:lang w:eastAsia="zh-CN"/>
                              </w:rPr>
                              <w:t xml:space="preserve">, </w:t>
                            </w:r>
                            <w:r w:rsidRPr="003F7060">
                              <w:t xml:space="preserve">where </w:t>
                            </w:r>
                            <w:r w:rsidRPr="003F7060">
                              <w:rPr>
                                <w:position w:val="-14"/>
                                <w:lang w:eastAsia="en-GB"/>
                              </w:rPr>
                              <w:object w:dxaOrig="720" w:dyaOrig="400" w14:anchorId="2A7A0DAA">
                                <v:shape id="_x0000_i1028" type="#_x0000_t75" style="width:36pt;height:20pt">
                                  <v:imagedata r:id="rId14" o:title=""/>
                                </v:shape>
                                <o:OLEObject Type="Embed" ProgID="Equation.3" ShapeID="_x0000_i1028" DrawAspect="Content" ObjectID="_1580312127" r:id="rId15"/>
                              </w:object>
                            </w:r>
                            <w:r w:rsidRPr="003F7060">
                              <w:t xml:space="preserve"> is the number of </w:t>
                            </w:r>
                            <w:proofErr w:type="spellStart"/>
                            <w:r w:rsidRPr="003F7060">
                              <w:t>narrowbands</w:t>
                            </w:r>
                            <w:proofErr w:type="spellEnd"/>
                            <w:r w:rsidRPr="003F7060">
                              <w:t xml:space="preserve"> where the BL/CE UE monitors MPDCCH.</w:t>
                            </w:r>
                          </w:p>
                        </w:txbxContent>
                      </wps:txbx>
                      <wps:bodyPr rot="0" vert="horz" wrap="square" lIns="91440" tIns="45720" rIns="91440" bIns="45720" anchor="t" anchorCtr="0">
                        <a:spAutoFit/>
                      </wps:bodyPr>
                    </wps:wsp>
                  </a:graphicData>
                </a:graphic>
              </wp:inline>
            </w:drawing>
          </mc:Choice>
          <mc:Fallback>
            <w:pict>
              <v:shapetype w14:anchorId="2FCD34CF" id="_x0000_t202" coordsize="21600,21600" o:spt="202" path="m,l,21600r21600,l21600,xe">
                <v:stroke joinstyle="miter"/>
                <v:path gradientshapeok="t" o:connecttype="rect"/>
              </v:shapetype>
              <v:shape id="Text Box 2" o:spid="_x0000_s1026" type="#_x0000_t202" style="width:440.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">
                <v:textbox style="mso-fit-shape-to-text:t">
                  <w:txbxContent>
                    <w:p w14:paraId="276AF4C5" w14:textId="77777777" w:rsidR="00050E7D" w:rsidRDefault="00050E7D" w:rsidP="00050E7D">
                      <w:pPr>
                        <w:pStyle w:val="B4"/>
                      </w:pPr>
                      <w:r>
                        <w:rPr>
                          <w:lang w:eastAsia="zh-CN"/>
                        </w:rPr>
                        <w:t xml:space="preserve">The set of BL/CE downlink or special subframes is the set of the last </w:t>
                      </w:r>
                      <w:r w:rsidRPr="003452A6">
                        <w:rPr>
                          <w:rFonts w:ascii="Bookman Old Style" w:hAnsi="Bookman Old Style"/>
                          <w:position w:val="-14"/>
                          <w:lang w:eastAsia="en-GB"/>
                        </w:rPr>
                        <w:object w:dxaOrig="1600" w:dyaOrig="385" w14:anchorId="49750CD4">
                          <v:shape id="_x0000_i1026" type="#_x0000_t75" style="width:80pt;height:19.25pt" fillcolor="window">
                            <v:imagedata r:id="rId12" o:title=""/>
                          </v:shape>
                          <o:OLEObject Type="Embed" ProgID="Equation.3" ShapeID="_x0000_i1026" DrawAspect="Content" ObjectID="_1580312126" r:id="rId16"/>
                        </w:object>
                      </w:r>
                      <w:r>
                        <w:rPr>
                          <w:rFonts w:ascii="Bookman Old Style" w:hAnsi="Bookman Old Style"/>
                        </w:rPr>
                        <w:t xml:space="preserve"> </w:t>
                      </w:r>
                      <w:r w:rsidRPr="00855A20">
                        <w:rPr>
                          <w:lang w:eastAsia="zh-CN"/>
                        </w:rPr>
                        <w:t>subfram</w:t>
                      </w:r>
                      <w:r>
                        <w:rPr>
                          <w:lang w:eastAsia="zh-CN"/>
                        </w:rPr>
                        <w:t xml:space="preserve">es before </w:t>
                      </w:r>
                      <w:r w:rsidRPr="00E9040D">
                        <w:rPr>
                          <w:i/>
                        </w:rPr>
                        <w:t>n</w:t>
                      </w:r>
                      <w:r w:rsidRPr="00E9040D">
                        <w:t>-</w:t>
                      </w:r>
                      <w:proofErr w:type="spellStart"/>
                      <w:r w:rsidRPr="00E9040D">
                        <w:rPr>
                          <w:i/>
                        </w:rPr>
                        <w:t>n</w:t>
                      </w:r>
                      <w:r w:rsidRPr="00E9040D">
                        <w:rPr>
                          <w:i/>
                          <w:vertAlign w:val="subscript"/>
                        </w:rPr>
                        <w:t>CQI_ref</w:t>
                      </w:r>
                      <w:proofErr w:type="spellEnd"/>
                      <w:r>
                        <w:rPr>
                          <w:i/>
                          <w:vertAlign w:val="subscript"/>
                        </w:rPr>
                        <w:t xml:space="preserve"> </w:t>
                      </w:r>
                      <w:r>
                        <w:rPr>
                          <w:lang w:eastAsia="zh-CN"/>
                        </w:rPr>
                        <w:t xml:space="preserve"> used for MPDCCH monitoring by the BL/CE UE in each of the </w:t>
                      </w:r>
                      <w:proofErr w:type="spellStart"/>
                      <w:r>
                        <w:rPr>
                          <w:lang w:eastAsia="zh-CN"/>
                        </w:rPr>
                        <w:t>narrowbands</w:t>
                      </w:r>
                      <w:proofErr w:type="spellEnd"/>
                      <w:r>
                        <w:rPr>
                          <w:lang w:eastAsia="zh-CN"/>
                        </w:rPr>
                        <w:t xml:space="preserve"> </w:t>
                      </w:r>
                      <w:r w:rsidRPr="003F7060">
                        <w:t>where the BL/CE UE monitors MPDCCH</w:t>
                      </w:r>
                      <w:r>
                        <w:rPr>
                          <w:lang w:eastAsia="zh-CN"/>
                        </w:rPr>
                        <w:t xml:space="preserve">, </w:t>
                      </w:r>
                      <w:r w:rsidRPr="003F7060">
                        <w:t xml:space="preserve">where </w:t>
                      </w:r>
                      <w:r w:rsidRPr="003F7060">
                        <w:rPr>
                          <w:position w:val="-14"/>
                          <w:lang w:eastAsia="en-GB"/>
                        </w:rPr>
                        <w:object w:dxaOrig="720" w:dyaOrig="400" w14:anchorId="2A7A0DAA">
                          <v:shape id="_x0000_i1028" type="#_x0000_t75" style="width:36pt;height:20pt">
                            <v:imagedata r:id="rId14" o:title=""/>
                          </v:shape>
                          <o:OLEObject Type="Embed" ProgID="Equation.3" ShapeID="_x0000_i1028" DrawAspect="Content" ObjectID="_1580312127" r:id="rId17"/>
                        </w:object>
                      </w:r>
                      <w:r w:rsidRPr="003F7060">
                        <w:t xml:space="preserve"> is the number of </w:t>
                      </w:r>
                      <w:proofErr w:type="spellStart"/>
                      <w:r w:rsidRPr="003F7060">
                        <w:t>narrowbands</w:t>
                      </w:r>
                      <w:proofErr w:type="spellEnd"/>
                      <w:r w:rsidRPr="003F7060">
                        <w:t xml:space="preserve"> where the BL/CE UE monitors MPDCCH.</w:t>
                      </w:r>
                    </w:p>
                  </w:txbxContent>
                </v:textbox>
                <w10:anchorlock/>
              </v:shape>
            </w:pict>
          </mc:Fallback>
        </mc:AlternateContent>
      </w:r>
    </w:p>
    <w:p w14:paraId="5C9F9F44" w14:textId="371D9B70" w:rsidR="00050E7D" w:rsidRPr="00475733" w:rsidRDefault="00050E7D" w:rsidP="00050E7D">
      <w:pPr>
        <w:jc w:val="both"/>
      </w:pPr>
      <w:r>
        <w:t xml:space="preserve">This means that the CSI reference resource is of size 4 subframes when the UE is configured with </w:t>
      </w:r>
      <w:r w:rsidRPr="00475733">
        <w:rPr>
          <w:i/>
        </w:rPr>
        <w:t xml:space="preserve">csi-NumRepetitionCE-r13 </w:t>
      </w:r>
      <w:r w:rsidRPr="00475733">
        <w:t>= 1</w:t>
      </w:r>
      <w:r>
        <w:t xml:space="preserve"> and has MPDCCH hopping across 4 </w:t>
      </w:r>
      <w:proofErr w:type="spellStart"/>
      <w:r>
        <w:t>narrowbands</w:t>
      </w:r>
      <w:proofErr w:type="spellEnd"/>
      <w:r>
        <w:t>. This needs to be considered.</w:t>
      </w:r>
      <w:r w:rsidRPr="00475733">
        <w:rPr>
          <w:b/>
          <w:lang w:eastAsia="zh-CN"/>
        </w:rPr>
        <w:t xml:space="preserve"> </w:t>
      </w:r>
      <w:r w:rsidRPr="00475733">
        <w:rPr>
          <w:lang w:eastAsia="zh-CN"/>
        </w:rPr>
        <w:t xml:space="preserve">One </w:t>
      </w:r>
      <w:r>
        <w:rPr>
          <w:lang w:eastAsia="zh-CN"/>
        </w:rPr>
        <w:t>possible solution</w:t>
      </w:r>
      <w:r w:rsidRPr="00475733">
        <w:rPr>
          <w:lang w:eastAsia="zh-CN"/>
        </w:rPr>
        <w:t xml:space="preserve"> would be to disable wideband reporting when MPDCCH hopping is configured</w:t>
      </w:r>
      <w:r>
        <w:rPr>
          <w:lang w:eastAsia="zh-CN"/>
        </w:rPr>
        <w:t xml:space="preserve"> with 64-QAM</w:t>
      </w:r>
      <w:r w:rsidRPr="00475733">
        <w:rPr>
          <w:lang w:eastAsia="zh-CN"/>
        </w:rPr>
        <w:t>, or to disallow reporting 64-QAM for the case of</w:t>
      </w:r>
      <w:r>
        <w:rPr>
          <w:lang w:eastAsia="zh-CN"/>
        </w:rPr>
        <w:t xml:space="preserve"> wideband reports. The second option seems more reasonable, since it allows more </w:t>
      </w:r>
      <w:proofErr w:type="spellStart"/>
      <w:r>
        <w:rPr>
          <w:lang w:eastAsia="zh-CN"/>
        </w:rPr>
        <w:t>eNB</w:t>
      </w:r>
      <w:proofErr w:type="spellEnd"/>
      <w:r>
        <w:rPr>
          <w:lang w:eastAsia="zh-CN"/>
        </w:rPr>
        <w:t xml:space="preserve"> flexibility.</w:t>
      </w:r>
    </w:p>
    <w:p w14:paraId="2EA29F7C" w14:textId="6875F263" w:rsidR="00050E7D" w:rsidRPr="00050E7D" w:rsidRDefault="00050E7D" w:rsidP="00050E7D">
      <w:pPr>
        <w:jc w:val="both"/>
        <w:rPr>
          <w:b/>
          <w:lang w:eastAsia="zh-CN"/>
        </w:rPr>
      </w:pPr>
      <w:r>
        <w:rPr>
          <w:b/>
          <w:u w:val="single"/>
          <w:lang w:eastAsia="zh-CN"/>
        </w:rPr>
        <w:t>Proposal 3</w:t>
      </w:r>
      <w:r w:rsidRPr="0049732A">
        <w:rPr>
          <w:b/>
          <w:u w:val="single"/>
          <w:lang w:eastAsia="zh-CN"/>
        </w:rPr>
        <w:t>:</w:t>
      </w:r>
      <w:r w:rsidRPr="0049732A">
        <w:rPr>
          <w:b/>
          <w:lang w:eastAsia="zh-CN"/>
        </w:rPr>
        <w:t xml:space="preserve"> </w:t>
      </w:r>
      <w:r w:rsidRPr="00050E7D">
        <w:rPr>
          <w:b/>
          <w:lang w:eastAsia="zh-CN"/>
        </w:rPr>
        <w:t>When configured with MPDCCH hopping, wideband reports, and 64-QAM, the UE ignores the 64-QAM entries in the CQI table.</w:t>
      </w:r>
    </w:p>
    <w:p w14:paraId="7A3B5A1D" w14:textId="77777777" w:rsidR="00050E7D" w:rsidRPr="00050E7D" w:rsidRDefault="00050E7D" w:rsidP="00050E7D"/>
    <w:p w14:paraId="3F488892" w14:textId="474F77C6" w:rsidR="00050E7D" w:rsidRDefault="00050E7D" w:rsidP="00587D0C">
      <w:pPr>
        <w:rPr>
          <w:b/>
          <w:u w:val="single"/>
          <w:lang w:val="en-GB"/>
        </w:rPr>
      </w:pPr>
    </w:p>
    <w:p w14:paraId="4EB2C14B" w14:textId="77777777" w:rsidR="00050E7D" w:rsidRDefault="00050E7D" w:rsidP="00587D0C">
      <w:pPr>
        <w:rPr>
          <w:b/>
          <w:u w:val="single"/>
          <w:lang w:val="en-GB"/>
        </w:rPr>
      </w:pPr>
    </w:p>
    <w:p w14:paraId="0B729F40" w14:textId="3E163705" w:rsidR="00B94CA0" w:rsidRDefault="00B94CA0" w:rsidP="00B94CA0">
      <w:pPr>
        <w:pStyle w:val="Heading1"/>
      </w:pPr>
      <w:r>
        <w:t>Summary of proposals</w:t>
      </w:r>
    </w:p>
    <w:p w14:paraId="758B4B3B" w14:textId="77777777" w:rsidR="00050E7D" w:rsidRDefault="00050E7D" w:rsidP="00050E7D">
      <w:pPr>
        <w:rPr>
          <w:b/>
          <w:lang w:val="en-GB"/>
        </w:rPr>
      </w:pPr>
      <w:r w:rsidRPr="00B94CA0">
        <w:rPr>
          <w:b/>
          <w:u w:val="single"/>
          <w:lang w:val="en-GB"/>
        </w:rPr>
        <w:t>Proposal</w:t>
      </w:r>
      <w:r>
        <w:rPr>
          <w:b/>
          <w:u w:val="single"/>
          <w:lang w:val="en-GB"/>
        </w:rPr>
        <w:t xml:space="preserve"> 1</w:t>
      </w:r>
      <w:r w:rsidRPr="00B94CA0">
        <w:rPr>
          <w:b/>
          <w:u w:val="single"/>
          <w:lang w:val="en-GB"/>
        </w:rPr>
        <w:t>:</w:t>
      </w:r>
      <w:r w:rsidRPr="00B94CA0">
        <w:rPr>
          <w:b/>
          <w:lang w:val="en-GB"/>
        </w:rPr>
        <w:t xml:space="preserve"> Confirm the working assumption from RAN1#91:</w:t>
      </w:r>
    </w:p>
    <w:p w14:paraId="7BD20CD1" w14:textId="77777777" w:rsidR="00050E7D" w:rsidRPr="00B94CA0" w:rsidRDefault="00050E7D" w:rsidP="00050E7D">
      <w:pPr>
        <w:pStyle w:val="ListParagraph"/>
        <w:numPr>
          <w:ilvl w:val="0"/>
          <w:numId w:val="10"/>
        </w:numPr>
        <w:overflowPunct w:val="0"/>
        <w:autoSpaceDE w:val="0"/>
        <w:autoSpaceDN w:val="0"/>
        <w:adjustRightInd w:val="0"/>
        <w:spacing w:after="180"/>
        <w:contextualSpacing/>
        <w:textAlignment w:val="baseline"/>
        <w:rPr>
          <w:rFonts w:ascii="Times New Roman" w:eastAsia="SimSun" w:hAnsi="Times New Roman"/>
          <w:b/>
          <w:sz w:val="20"/>
          <w:szCs w:val="20"/>
          <w:lang w:val="en-GB"/>
        </w:rPr>
      </w:pPr>
      <w:r w:rsidRPr="00B94CA0">
        <w:rPr>
          <w:rFonts w:ascii="Times New Roman" w:eastAsia="SimSun" w:hAnsi="Times New Roman"/>
          <w:b/>
          <w:sz w:val="20"/>
          <w:szCs w:val="20"/>
          <w:lang w:val="en-GB"/>
        </w:rPr>
        <w:tab/>
        <w:t>When a UE is configured both with 64QAM and csi-NumRepetitionCE-r13 &gt; 1,</w:t>
      </w:r>
    </w:p>
    <w:p w14:paraId="4442ADD4" w14:textId="77777777" w:rsidR="00050E7D" w:rsidRPr="00B94CA0" w:rsidRDefault="00050E7D" w:rsidP="00050E7D">
      <w:pPr>
        <w:pStyle w:val="ListParagraph"/>
        <w:numPr>
          <w:ilvl w:val="1"/>
          <w:numId w:val="10"/>
        </w:numPr>
        <w:overflowPunct w:val="0"/>
        <w:autoSpaceDE w:val="0"/>
        <w:autoSpaceDN w:val="0"/>
        <w:adjustRightInd w:val="0"/>
        <w:spacing w:after="180"/>
        <w:contextualSpacing/>
        <w:textAlignment w:val="baseline"/>
        <w:rPr>
          <w:rFonts w:ascii="Times New Roman" w:eastAsia="SimSun" w:hAnsi="Times New Roman"/>
          <w:b/>
          <w:sz w:val="20"/>
          <w:szCs w:val="20"/>
          <w:lang w:val="en-GB"/>
        </w:rPr>
      </w:pPr>
      <w:r w:rsidRPr="00B94CA0">
        <w:rPr>
          <w:rFonts w:ascii="Times New Roman" w:eastAsia="SimSun" w:hAnsi="Times New Roman"/>
          <w:b/>
          <w:sz w:val="20"/>
          <w:szCs w:val="20"/>
          <w:lang w:val="en-GB"/>
        </w:rPr>
        <w:t>A single CQI table covers the range from QPSK with 32 times repetition up to 64QAM without repetition</w:t>
      </w:r>
    </w:p>
    <w:p w14:paraId="043A012A" w14:textId="77777777" w:rsidR="00050E7D" w:rsidRPr="00D25DD4" w:rsidRDefault="00050E7D" w:rsidP="00050E7D">
      <w:pPr>
        <w:rPr>
          <w:b/>
        </w:rPr>
      </w:pPr>
      <w:r w:rsidRPr="00B94CA0">
        <w:rPr>
          <w:b/>
          <w:u w:val="single"/>
        </w:rPr>
        <w:t>Proposal 2:</w:t>
      </w:r>
      <w:r>
        <w:rPr>
          <w:b/>
          <w:u w:val="single"/>
        </w:rPr>
        <w:t xml:space="preserve"> </w:t>
      </w:r>
      <w:r>
        <w:rPr>
          <w:b/>
        </w:rPr>
        <w:t xml:space="preserve">In case the second working assumption is confirmed, the alternative CQI table should have entries from QPSK with 32 times repetition up to 16QAM with repetition (instead of 64QAM). This table would be applicable only if </w:t>
      </w:r>
      <w:r w:rsidRPr="00D25DD4">
        <w:rPr>
          <w:b/>
          <w:i/>
          <w:lang w:val="en-GB"/>
        </w:rPr>
        <w:t>csi-NumRepetitionCE-r13</w:t>
      </w:r>
      <w:r w:rsidRPr="00B94CA0">
        <w:rPr>
          <w:b/>
          <w:lang w:val="en-GB"/>
        </w:rPr>
        <w:t xml:space="preserve"> &gt; 1</w:t>
      </w:r>
      <w:r>
        <w:rPr>
          <w:b/>
          <w:lang w:val="en-GB"/>
        </w:rPr>
        <w:t xml:space="preserve"> + a second RRC parameter is configured.</w:t>
      </w:r>
    </w:p>
    <w:p w14:paraId="573E7266" w14:textId="77777777" w:rsidR="00050E7D" w:rsidRPr="00050E7D" w:rsidRDefault="00050E7D" w:rsidP="00050E7D">
      <w:pPr>
        <w:jc w:val="both"/>
        <w:rPr>
          <w:b/>
          <w:lang w:eastAsia="zh-CN"/>
        </w:rPr>
      </w:pPr>
      <w:r>
        <w:rPr>
          <w:b/>
          <w:u w:val="single"/>
          <w:lang w:eastAsia="zh-CN"/>
        </w:rPr>
        <w:t>Proposal 3</w:t>
      </w:r>
      <w:r w:rsidRPr="0049732A">
        <w:rPr>
          <w:b/>
          <w:u w:val="single"/>
          <w:lang w:eastAsia="zh-CN"/>
        </w:rPr>
        <w:t>:</w:t>
      </w:r>
      <w:r w:rsidRPr="0049732A">
        <w:rPr>
          <w:b/>
          <w:lang w:eastAsia="zh-CN"/>
        </w:rPr>
        <w:t xml:space="preserve"> </w:t>
      </w:r>
      <w:r w:rsidRPr="00050E7D">
        <w:rPr>
          <w:b/>
          <w:lang w:eastAsia="zh-CN"/>
        </w:rPr>
        <w:t>When configured with MPDCCH hopping, wideband reports, and 64-QAM, the UE ignores the 64-QAM entries in the CQI table.</w:t>
      </w:r>
    </w:p>
    <w:p w14:paraId="1F1980D8" w14:textId="77777777" w:rsidR="00050E7D" w:rsidRPr="00050E7D" w:rsidRDefault="00050E7D" w:rsidP="00587D0C">
      <w:pPr>
        <w:rPr>
          <w:b/>
          <w:u w:val="single"/>
        </w:rPr>
      </w:pPr>
    </w:p>
    <w:sectPr w:rsidR="00050E7D" w:rsidRPr="00050E7D" w:rsidSect="00671B4F">
      <w:headerReference w:type="even" r:id="rId18"/>
      <w:footerReference w:type="even" r:id="rId19"/>
      <w:footerReference w:type="default" r:id="rId20"/>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8EB083" w14:textId="77777777" w:rsidR="001A52E0" w:rsidRDefault="001A52E0">
      <w:r>
        <w:separator/>
      </w:r>
    </w:p>
  </w:endnote>
  <w:endnote w:type="continuationSeparator" w:id="0">
    <w:p w14:paraId="5AF6DCBE" w14:textId="77777777" w:rsidR="001A52E0" w:rsidRDefault="001A52E0">
      <w:r>
        <w:continuationSeparator/>
      </w:r>
    </w:p>
  </w:endnote>
  <w:endnote w:type="continuationNotice" w:id="1">
    <w:p w14:paraId="6B50B951" w14:textId="77777777" w:rsidR="001A52E0" w:rsidRDefault="001A52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D25DD4" w:rsidRDefault="00D25DD4"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D25DD4" w:rsidRDefault="00D25DD4"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30722D65" w:rsidR="00D25DD4" w:rsidRDefault="00D25DD4"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C16119">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16119">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6EA04A" w14:textId="77777777" w:rsidR="001A52E0" w:rsidRDefault="001A52E0">
      <w:r>
        <w:separator/>
      </w:r>
    </w:p>
  </w:footnote>
  <w:footnote w:type="continuationSeparator" w:id="0">
    <w:p w14:paraId="7D4C41E0" w14:textId="77777777" w:rsidR="001A52E0" w:rsidRDefault="001A52E0">
      <w:r>
        <w:continuationSeparator/>
      </w:r>
    </w:p>
  </w:footnote>
  <w:footnote w:type="continuationNotice" w:id="1">
    <w:p w14:paraId="103917E6" w14:textId="77777777" w:rsidR="001A52E0" w:rsidRDefault="001A52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D25DD4" w:rsidRDefault="00D25DD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3926CB0"/>
    <w:multiLevelType w:val="hybridMultilevel"/>
    <w:tmpl w:val="E3781E04"/>
    <w:lvl w:ilvl="0" w:tplc="E498583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C230FE8"/>
    <w:multiLevelType w:val="hybridMultilevel"/>
    <w:tmpl w:val="D06AEB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1BF60C4"/>
    <w:multiLevelType w:val="hybridMultilevel"/>
    <w:tmpl w:val="09427628"/>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tentative="1">
      <w:start w:val="1"/>
      <w:numFmt w:val="bullet"/>
      <w:lvlText w:val=""/>
      <w:lvlJc w:val="left"/>
      <w:pPr>
        <w:tabs>
          <w:tab w:val="num" w:pos="2880"/>
        </w:tabs>
        <w:ind w:left="2880" w:hanging="360"/>
      </w:pPr>
      <w:rPr>
        <w:rFonts w:ascii="Wingdings" w:hAnsi="Wingdings" w:hint="default"/>
      </w:rPr>
    </w:lvl>
    <w:lvl w:ilvl="4" w:tplc="80244E08" w:tentative="1">
      <w:start w:val="1"/>
      <w:numFmt w:val="bullet"/>
      <w:lvlText w:val=""/>
      <w:lvlJc w:val="left"/>
      <w:pPr>
        <w:tabs>
          <w:tab w:val="num" w:pos="3600"/>
        </w:tabs>
        <w:ind w:left="3600" w:hanging="360"/>
      </w:pPr>
      <w:rPr>
        <w:rFonts w:ascii="Wingdings" w:hAnsi="Wingdings" w:hint="default"/>
      </w:rPr>
    </w:lvl>
    <w:lvl w:ilvl="5" w:tplc="206C2EFC" w:tentative="1">
      <w:start w:val="1"/>
      <w:numFmt w:val="bullet"/>
      <w:lvlText w:val=""/>
      <w:lvlJc w:val="left"/>
      <w:pPr>
        <w:tabs>
          <w:tab w:val="num" w:pos="4320"/>
        </w:tabs>
        <w:ind w:left="4320" w:hanging="360"/>
      </w:pPr>
      <w:rPr>
        <w:rFonts w:ascii="Wingdings" w:hAnsi="Wingdings"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50C3114"/>
    <w:multiLevelType w:val="multilevel"/>
    <w:tmpl w:val="231AE1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6F2C387D"/>
    <w:multiLevelType w:val="hybridMultilevel"/>
    <w:tmpl w:val="AE160B16"/>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num w:numId="1">
    <w:abstractNumId w:val="5"/>
  </w:num>
  <w:num w:numId="2">
    <w:abstractNumId w:val="1"/>
  </w:num>
  <w:num w:numId="3">
    <w:abstractNumId w:val="7"/>
  </w:num>
  <w:num w:numId="4">
    <w:abstractNumId w:val="6"/>
  </w:num>
  <w:num w:numId="5">
    <w:abstractNumId w:val="9"/>
  </w:num>
  <w:num w:numId="6">
    <w:abstractNumId w:val="4"/>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ECA"/>
    <w:rsid w:val="00000F7F"/>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101EF"/>
    <w:rsid w:val="00010E97"/>
    <w:rsid w:val="00010FD1"/>
    <w:rsid w:val="0001117C"/>
    <w:rsid w:val="00011CC1"/>
    <w:rsid w:val="000124D1"/>
    <w:rsid w:val="00012D57"/>
    <w:rsid w:val="0001321B"/>
    <w:rsid w:val="000137BA"/>
    <w:rsid w:val="00013B63"/>
    <w:rsid w:val="00013F2A"/>
    <w:rsid w:val="00013F64"/>
    <w:rsid w:val="000141F0"/>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908"/>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F74"/>
    <w:rsid w:val="00030F85"/>
    <w:rsid w:val="000312B4"/>
    <w:rsid w:val="0003134F"/>
    <w:rsid w:val="000317B2"/>
    <w:rsid w:val="00031EDD"/>
    <w:rsid w:val="000321DC"/>
    <w:rsid w:val="000325EF"/>
    <w:rsid w:val="00032A0C"/>
    <w:rsid w:val="00034882"/>
    <w:rsid w:val="000349B7"/>
    <w:rsid w:val="0003540B"/>
    <w:rsid w:val="00035574"/>
    <w:rsid w:val="00036199"/>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35"/>
    <w:rsid w:val="000413B8"/>
    <w:rsid w:val="000416DE"/>
    <w:rsid w:val="0004182E"/>
    <w:rsid w:val="000418C8"/>
    <w:rsid w:val="0004198E"/>
    <w:rsid w:val="00041D52"/>
    <w:rsid w:val="00041EC3"/>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0E7D"/>
    <w:rsid w:val="00051135"/>
    <w:rsid w:val="000515F7"/>
    <w:rsid w:val="0005201C"/>
    <w:rsid w:val="0005241E"/>
    <w:rsid w:val="0005291A"/>
    <w:rsid w:val="00052AE3"/>
    <w:rsid w:val="000531A8"/>
    <w:rsid w:val="000532C1"/>
    <w:rsid w:val="00053849"/>
    <w:rsid w:val="00053A47"/>
    <w:rsid w:val="00053D60"/>
    <w:rsid w:val="0005456E"/>
    <w:rsid w:val="00054917"/>
    <w:rsid w:val="00054ACE"/>
    <w:rsid w:val="00054AE4"/>
    <w:rsid w:val="00054B6B"/>
    <w:rsid w:val="00054DAB"/>
    <w:rsid w:val="0005504C"/>
    <w:rsid w:val="00055873"/>
    <w:rsid w:val="00055B8E"/>
    <w:rsid w:val="0005602E"/>
    <w:rsid w:val="00056057"/>
    <w:rsid w:val="000572A7"/>
    <w:rsid w:val="00057388"/>
    <w:rsid w:val="0005755D"/>
    <w:rsid w:val="00057DF9"/>
    <w:rsid w:val="00057F68"/>
    <w:rsid w:val="00057F6C"/>
    <w:rsid w:val="00060586"/>
    <w:rsid w:val="0006090A"/>
    <w:rsid w:val="00060FDB"/>
    <w:rsid w:val="000612C5"/>
    <w:rsid w:val="000613C1"/>
    <w:rsid w:val="000616E1"/>
    <w:rsid w:val="00061ADA"/>
    <w:rsid w:val="00061BDC"/>
    <w:rsid w:val="00061D2A"/>
    <w:rsid w:val="000621A9"/>
    <w:rsid w:val="0006263A"/>
    <w:rsid w:val="00062D9A"/>
    <w:rsid w:val="000631CE"/>
    <w:rsid w:val="00063485"/>
    <w:rsid w:val="00063911"/>
    <w:rsid w:val="00063F57"/>
    <w:rsid w:val="0006480B"/>
    <w:rsid w:val="00064A2B"/>
    <w:rsid w:val="00064B46"/>
    <w:rsid w:val="00065016"/>
    <w:rsid w:val="00065031"/>
    <w:rsid w:val="00065439"/>
    <w:rsid w:val="0006549C"/>
    <w:rsid w:val="000659DD"/>
    <w:rsid w:val="00065D64"/>
    <w:rsid w:val="000667D1"/>
    <w:rsid w:val="00067087"/>
    <w:rsid w:val="0006739D"/>
    <w:rsid w:val="0006777C"/>
    <w:rsid w:val="00067FE2"/>
    <w:rsid w:val="00070192"/>
    <w:rsid w:val="0007118F"/>
    <w:rsid w:val="000715CE"/>
    <w:rsid w:val="0007162A"/>
    <w:rsid w:val="000716FB"/>
    <w:rsid w:val="00071740"/>
    <w:rsid w:val="00072E75"/>
    <w:rsid w:val="00072EFA"/>
    <w:rsid w:val="00072FF7"/>
    <w:rsid w:val="0007337F"/>
    <w:rsid w:val="0007353A"/>
    <w:rsid w:val="0007368E"/>
    <w:rsid w:val="00073785"/>
    <w:rsid w:val="00073974"/>
    <w:rsid w:val="000741B3"/>
    <w:rsid w:val="00074375"/>
    <w:rsid w:val="000743A0"/>
    <w:rsid w:val="000747FC"/>
    <w:rsid w:val="00074A9E"/>
    <w:rsid w:val="00074BF5"/>
    <w:rsid w:val="000752CD"/>
    <w:rsid w:val="00075680"/>
    <w:rsid w:val="00075999"/>
    <w:rsid w:val="00075AB6"/>
    <w:rsid w:val="00076408"/>
    <w:rsid w:val="0007661E"/>
    <w:rsid w:val="00077073"/>
    <w:rsid w:val="00077400"/>
    <w:rsid w:val="0008022A"/>
    <w:rsid w:val="00080418"/>
    <w:rsid w:val="000805B2"/>
    <w:rsid w:val="00080D74"/>
    <w:rsid w:val="00080D81"/>
    <w:rsid w:val="00081383"/>
    <w:rsid w:val="000826F4"/>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1F33"/>
    <w:rsid w:val="000921E3"/>
    <w:rsid w:val="000928FD"/>
    <w:rsid w:val="00092A3D"/>
    <w:rsid w:val="000931C3"/>
    <w:rsid w:val="00093566"/>
    <w:rsid w:val="00093F75"/>
    <w:rsid w:val="0009437A"/>
    <w:rsid w:val="000947B7"/>
    <w:rsid w:val="0009512D"/>
    <w:rsid w:val="000954C6"/>
    <w:rsid w:val="00095653"/>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B21"/>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4A8"/>
    <w:rsid w:val="000D2AE0"/>
    <w:rsid w:val="000D2CDA"/>
    <w:rsid w:val="000D362A"/>
    <w:rsid w:val="000D37FA"/>
    <w:rsid w:val="000D389E"/>
    <w:rsid w:val="000D3F8F"/>
    <w:rsid w:val="000D4324"/>
    <w:rsid w:val="000D46D6"/>
    <w:rsid w:val="000D46EE"/>
    <w:rsid w:val="000D4896"/>
    <w:rsid w:val="000D494F"/>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3C7"/>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50B7"/>
    <w:rsid w:val="001050F9"/>
    <w:rsid w:val="0010521E"/>
    <w:rsid w:val="0010568A"/>
    <w:rsid w:val="001056C5"/>
    <w:rsid w:val="00105820"/>
    <w:rsid w:val="00105CEE"/>
    <w:rsid w:val="00105DA1"/>
    <w:rsid w:val="00105E28"/>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60D"/>
    <w:rsid w:val="0012079F"/>
    <w:rsid w:val="001207F3"/>
    <w:rsid w:val="00120C13"/>
    <w:rsid w:val="00121769"/>
    <w:rsid w:val="00121E1A"/>
    <w:rsid w:val="00122727"/>
    <w:rsid w:val="00122842"/>
    <w:rsid w:val="001232D2"/>
    <w:rsid w:val="0012345C"/>
    <w:rsid w:val="00123975"/>
    <w:rsid w:val="00123DED"/>
    <w:rsid w:val="00124124"/>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5E16"/>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6B4F"/>
    <w:rsid w:val="0014703E"/>
    <w:rsid w:val="00147D65"/>
    <w:rsid w:val="00147D91"/>
    <w:rsid w:val="00150677"/>
    <w:rsid w:val="001508E1"/>
    <w:rsid w:val="00150A99"/>
    <w:rsid w:val="001510ED"/>
    <w:rsid w:val="001517AB"/>
    <w:rsid w:val="00151805"/>
    <w:rsid w:val="00151897"/>
    <w:rsid w:val="00152066"/>
    <w:rsid w:val="00152559"/>
    <w:rsid w:val="00152A3B"/>
    <w:rsid w:val="0015347E"/>
    <w:rsid w:val="00153A48"/>
    <w:rsid w:val="00153A6B"/>
    <w:rsid w:val="00153E69"/>
    <w:rsid w:val="00153EEF"/>
    <w:rsid w:val="00153F29"/>
    <w:rsid w:val="001540F5"/>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D7E"/>
    <w:rsid w:val="00171F14"/>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21"/>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87"/>
    <w:rsid w:val="00194955"/>
    <w:rsid w:val="001954AB"/>
    <w:rsid w:val="00195657"/>
    <w:rsid w:val="0019573B"/>
    <w:rsid w:val="0019592C"/>
    <w:rsid w:val="00196085"/>
    <w:rsid w:val="00196B90"/>
    <w:rsid w:val="00196DE8"/>
    <w:rsid w:val="00196FF4"/>
    <w:rsid w:val="0019734F"/>
    <w:rsid w:val="001A0303"/>
    <w:rsid w:val="001A0313"/>
    <w:rsid w:val="001A0676"/>
    <w:rsid w:val="001A067A"/>
    <w:rsid w:val="001A06C8"/>
    <w:rsid w:val="001A10A9"/>
    <w:rsid w:val="001A1337"/>
    <w:rsid w:val="001A2939"/>
    <w:rsid w:val="001A2FD5"/>
    <w:rsid w:val="001A3037"/>
    <w:rsid w:val="001A30FB"/>
    <w:rsid w:val="001A36CF"/>
    <w:rsid w:val="001A3974"/>
    <w:rsid w:val="001A3BBA"/>
    <w:rsid w:val="001A3F0F"/>
    <w:rsid w:val="001A3FA5"/>
    <w:rsid w:val="001A4EDF"/>
    <w:rsid w:val="001A52E0"/>
    <w:rsid w:val="001A5308"/>
    <w:rsid w:val="001A558A"/>
    <w:rsid w:val="001A6164"/>
    <w:rsid w:val="001A61A0"/>
    <w:rsid w:val="001A6AFE"/>
    <w:rsid w:val="001A6E27"/>
    <w:rsid w:val="001A706D"/>
    <w:rsid w:val="001A71EB"/>
    <w:rsid w:val="001A72EE"/>
    <w:rsid w:val="001A7826"/>
    <w:rsid w:val="001A79DA"/>
    <w:rsid w:val="001B00B2"/>
    <w:rsid w:val="001B0149"/>
    <w:rsid w:val="001B0251"/>
    <w:rsid w:val="001B1565"/>
    <w:rsid w:val="001B1CEB"/>
    <w:rsid w:val="001B1EC4"/>
    <w:rsid w:val="001B2993"/>
    <w:rsid w:val="001B2C18"/>
    <w:rsid w:val="001B35C1"/>
    <w:rsid w:val="001B3754"/>
    <w:rsid w:val="001B3A10"/>
    <w:rsid w:val="001B4371"/>
    <w:rsid w:val="001B5332"/>
    <w:rsid w:val="001B54E9"/>
    <w:rsid w:val="001B55DE"/>
    <w:rsid w:val="001B70CF"/>
    <w:rsid w:val="001B748B"/>
    <w:rsid w:val="001B7905"/>
    <w:rsid w:val="001C0085"/>
    <w:rsid w:val="001C0311"/>
    <w:rsid w:val="001C063F"/>
    <w:rsid w:val="001C0874"/>
    <w:rsid w:val="001C0883"/>
    <w:rsid w:val="001C12A0"/>
    <w:rsid w:val="001C16A9"/>
    <w:rsid w:val="001C19EB"/>
    <w:rsid w:val="001C1E53"/>
    <w:rsid w:val="001C211D"/>
    <w:rsid w:val="001C2A8B"/>
    <w:rsid w:val="001C3434"/>
    <w:rsid w:val="001C3474"/>
    <w:rsid w:val="001C3DC6"/>
    <w:rsid w:val="001C3DCD"/>
    <w:rsid w:val="001C3E02"/>
    <w:rsid w:val="001C4573"/>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4FFC"/>
    <w:rsid w:val="001E5BB2"/>
    <w:rsid w:val="001E5CD7"/>
    <w:rsid w:val="001E5D1F"/>
    <w:rsid w:val="001E6313"/>
    <w:rsid w:val="001E6BDA"/>
    <w:rsid w:val="001E6C1B"/>
    <w:rsid w:val="001E7173"/>
    <w:rsid w:val="001E719A"/>
    <w:rsid w:val="001E750C"/>
    <w:rsid w:val="001E7A8F"/>
    <w:rsid w:val="001E7D26"/>
    <w:rsid w:val="001F020C"/>
    <w:rsid w:val="001F0546"/>
    <w:rsid w:val="001F0DDF"/>
    <w:rsid w:val="001F11F0"/>
    <w:rsid w:val="001F14D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00D"/>
    <w:rsid w:val="002045B5"/>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603"/>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351A"/>
    <w:rsid w:val="0023406E"/>
    <w:rsid w:val="002344C8"/>
    <w:rsid w:val="002349C5"/>
    <w:rsid w:val="00234B73"/>
    <w:rsid w:val="00234FE9"/>
    <w:rsid w:val="00235581"/>
    <w:rsid w:val="00235698"/>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111"/>
    <w:rsid w:val="00266210"/>
    <w:rsid w:val="002664FA"/>
    <w:rsid w:val="00266867"/>
    <w:rsid w:val="00266A91"/>
    <w:rsid w:val="0026716C"/>
    <w:rsid w:val="002706CC"/>
    <w:rsid w:val="002708DA"/>
    <w:rsid w:val="00270C63"/>
    <w:rsid w:val="00270C98"/>
    <w:rsid w:val="00270CF1"/>
    <w:rsid w:val="00270E57"/>
    <w:rsid w:val="00270E80"/>
    <w:rsid w:val="002711C3"/>
    <w:rsid w:val="002713CE"/>
    <w:rsid w:val="0027193C"/>
    <w:rsid w:val="00271A55"/>
    <w:rsid w:val="00271EEF"/>
    <w:rsid w:val="0027242C"/>
    <w:rsid w:val="00272474"/>
    <w:rsid w:val="0027257A"/>
    <w:rsid w:val="00272736"/>
    <w:rsid w:val="00272D06"/>
    <w:rsid w:val="00272FEB"/>
    <w:rsid w:val="00273644"/>
    <w:rsid w:val="002738C9"/>
    <w:rsid w:val="00273AD1"/>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671"/>
    <w:rsid w:val="002977A0"/>
    <w:rsid w:val="00297F46"/>
    <w:rsid w:val="002A025C"/>
    <w:rsid w:val="002A0581"/>
    <w:rsid w:val="002A05EF"/>
    <w:rsid w:val="002A0724"/>
    <w:rsid w:val="002A12C3"/>
    <w:rsid w:val="002A1A57"/>
    <w:rsid w:val="002A1DA1"/>
    <w:rsid w:val="002A205B"/>
    <w:rsid w:val="002A2FB8"/>
    <w:rsid w:val="002A31FF"/>
    <w:rsid w:val="002A3668"/>
    <w:rsid w:val="002A3771"/>
    <w:rsid w:val="002A37C5"/>
    <w:rsid w:val="002A3AC3"/>
    <w:rsid w:val="002A3AFD"/>
    <w:rsid w:val="002A3B12"/>
    <w:rsid w:val="002A4102"/>
    <w:rsid w:val="002A4918"/>
    <w:rsid w:val="002A4B7D"/>
    <w:rsid w:val="002A4E20"/>
    <w:rsid w:val="002A523D"/>
    <w:rsid w:val="002A530F"/>
    <w:rsid w:val="002A5FC1"/>
    <w:rsid w:val="002A6EF8"/>
    <w:rsid w:val="002A732C"/>
    <w:rsid w:val="002A7A6A"/>
    <w:rsid w:val="002A7AB4"/>
    <w:rsid w:val="002B016A"/>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601A"/>
    <w:rsid w:val="002B61F1"/>
    <w:rsid w:val="002B64FE"/>
    <w:rsid w:val="002B694E"/>
    <w:rsid w:val="002B6D31"/>
    <w:rsid w:val="002B6FED"/>
    <w:rsid w:val="002B70A2"/>
    <w:rsid w:val="002B7D56"/>
    <w:rsid w:val="002C04C2"/>
    <w:rsid w:val="002C0818"/>
    <w:rsid w:val="002C0D11"/>
    <w:rsid w:val="002C1B17"/>
    <w:rsid w:val="002C1E49"/>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B4E"/>
    <w:rsid w:val="002D3561"/>
    <w:rsid w:val="002D3968"/>
    <w:rsid w:val="002D425A"/>
    <w:rsid w:val="002D4314"/>
    <w:rsid w:val="002D4A54"/>
    <w:rsid w:val="002D4E37"/>
    <w:rsid w:val="002D4E9C"/>
    <w:rsid w:val="002D52E0"/>
    <w:rsid w:val="002D5DEA"/>
    <w:rsid w:val="002D6127"/>
    <w:rsid w:val="002D61BE"/>
    <w:rsid w:val="002D61F0"/>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29D"/>
    <w:rsid w:val="002E4301"/>
    <w:rsid w:val="002E57BC"/>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998"/>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E5F"/>
    <w:rsid w:val="003011C0"/>
    <w:rsid w:val="00301686"/>
    <w:rsid w:val="00301DA6"/>
    <w:rsid w:val="00301EE4"/>
    <w:rsid w:val="00302191"/>
    <w:rsid w:val="003024DE"/>
    <w:rsid w:val="00302701"/>
    <w:rsid w:val="00302739"/>
    <w:rsid w:val="00302B48"/>
    <w:rsid w:val="00302EDE"/>
    <w:rsid w:val="00302FEF"/>
    <w:rsid w:val="0030318E"/>
    <w:rsid w:val="00304556"/>
    <w:rsid w:val="00304AC5"/>
    <w:rsid w:val="00304C9E"/>
    <w:rsid w:val="003059CF"/>
    <w:rsid w:val="003065FB"/>
    <w:rsid w:val="00306ED2"/>
    <w:rsid w:val="00306F89"/>
    <w:rsid w:val="0030749E"/>
    <w:rsid w:val="00307B27"/>
    <w:rsid w:val="00307F28"/>
    <w:rsid w:val="003101DC"/>
    <w:rsid w:val="0031049F"/>
    <w:rsid w:val="0031050E"/>
    <w:rsid w:val="00310CC6"/>
    <w:rsid w:val="00310F30"/>
    <w:rsid w:val="0031110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6A"/>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616"/>
    <w:rsid w:val="00332962"/>
    <w:rsid w:val="00334E18"/>
    <w:rsid w:val="00335250"/>
    <w:rsid w:val="00335670"/>
    <w:rsid w:val="0033572D"/>
    <w:rsid w:val="0033592C"/>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220"/>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1E6"/>
    <w:rsid w:val="00354FE6"/>
    <w:rsid w:val="003552C6"/>
    <w:rsid w:val="003558FD"/>
    <w:rsid w:val="00355A83"/>
    <w:rsid w:val="003562D7"/>
    <w:rsid w:val="00356353"/>
    <w:rsid w:val="003567C9"/>
    <w:rsid w:val="00356CEC"/>
    <w:rsid w:val="003570F9"/>
    <w:rsid w:val="003572DE"/>
    <w:rsid w:val="00357659"/>
    <w:rsid w:val="00357712"/>
    <w:rsid w:val="00357CAE"/>
    <w:rsid w:val="003604DB"/>
    <w:rsid w:val="003617B5"/>
    <w:rsid w:val="0036185C"/>
    <w:rsid w:val="00361B1A"/>
    <w:rsid w:val="00362223"/>
    <w:rsid w:val="0036227D"/>
    <w:rsid w:val="0036262C"/>
    <w:rsid w:val="003628EE"/>
    <w:rsid w:val="00362C5A"/>
    <w:rsid w:val="003635B6"/>
    <w:rsid w:val="00363BB4"/>
    <w:rsid w:val="00363FC9"/>
    <w:rsid w:val="00364935"/>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5A6"/>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D4B"/>
    <w:rsid w:val="00383DBC"/>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8BB"/>
    <w:rsid w:val="00394948"/>
    <w:rsid w:val="00394B44"/>
    <w:rsid w:val="00394D6C"/>
    <w:rsid w:val="0039502C"/>
    <w:rsid w:val="0039511F"/>
    <w:rsid w:val="00395329"/>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175"/>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C0"/>
    <w:rsid w:val="003A71E1"/>
    <w:rsid w:val="003A76A9"/>
    <w:rsid w:val="003A7747"/>
    <w:rsid w:val="003B0299"/>
    <w:rsid w:val="003B0B4D"/>
    <w:rsid w:val="003B10DA"/>
    <w:rsid w:val="003B248F"/>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FCB"/>
    <w:rsid w:val="003B7020"/>
    <w:rsid w:val="003B7294"/>
    <w:rsid w:val="003B76FE"/>
    <w:rsid w:val="003C009A"/>
    <w:rsid w:val="003C07D7"/>
    <w:rsid w:val="003C0985"/>
    <w:rsid w:val="003C0D5D"/>
    <w:rsid w:val="003C10B8"/>
    <w:rsid w:val="003C131F"/>
    <w:rsid w:val="003C2C9D"/>
    <w:rsid w:val="003C3B73"/>
    <w:rsid w:val="003C3D6E"/>
    <w:rsid w:val="003C3F8B"/>
    <w:rsid w:val="003C4213"/>
    <w:rsid w:val="003C4250"/>
    <w:rsid w:val="003C44DB"/>
    <w:rsid w:val="003C4F25"/>
    <w:rsid w:val="003C5888"/>
    <w:rsid w:val="003C62BB"/>
    <w:rsid w:val="003C64CD"/>
    <w:rsid w:val="003C6580"/>
    <w:rsid w:val="003C6609"/>
    <w:rsid w:val="003C6CCB"/>
    <w:rsid w:val="003C6DA9"/>
    <w:rsid w:val="003C7855"/>
    <w:rsid w:val="003D0240"/>
    <w:rsid w:val="003D06A7"/>
    <w:rsid w:val="003D0868"/>
    <w:rsid w:val="003D09DA"/>
    <w:rsid w:val="003D0D75"/>
    <w:rsid w:val="003D1634"/>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3BA"/>
    <w:rsid w:val="003D680E"/>
    <w:rsid w:val="003D69ED"/>
    <w:rsid w:val="003D6B43"/>
    <w:rsid w:val="003D740C"/>
    <w:rsid w:val="003D762D"/>
    <w:rsid w:val="003D79E8"/>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490"/>
    <w:rsid w:val="003E76BB"/>
    <w:rsid w:val="003E7706"/>
    <w:rsid w:val="003E7C5E"/>
    <w:rsid w:val="003F0656"/>
    <w:rsid w:val="003F073C"/>
    <w:rsid w:val="003F0905"/>
    <w:rsid w:val="003F13D9"/>
    <w:rsid w:val="003F148D"/>
    <w:rsid w:val="003F1B6D"/>
    <w:rsid w:val="003F1C93"/>
    <w:rsid w:val="003F1E48"/>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4AB"/>
    <w:rsid w:val="00402DC4"/>
    <w:rsid w:val="00402F2C"/>
    <w:rsid w:val="0040303D"/>
    <w:rsid w:val="0040379F"/>
    <w:rsid w:val="00403805"/>
    <w:rsid w:val="00403F25"/>
    <w:rsid w:val="00404011"/>
    <w:rsid w:val="0040495B"/>
    <w:rsid w:val="00404D4D"/>
    <w:rsid w:val="004056E6"/>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77E"/>
    <w:rsid w:val="004118C9"/>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4ADE"/>
    <w:rsid w:val="00424E58"/>
    <w:rsid w:val="004251F8"/>
    <w:rsid w:val="004253B1"/>
    <w:rsid w:val="00425C97"/>
    <w:rsid w:val="00425FFD"/>
    <w:rsid w:val="004262F8"/>
    <w:rsid w:val="00426442"/>
    <w:rsid w:val="0042654A"/>
    <w:rsid w:val="00426A93"/>
    <w:rsid w:val="00426DFA"/>
    <w:rsid w:val="004272ED"/>
    <w:rsid w:val="0042745C"/>
    <w:rsid w:val="0042754C"/>
    <w:rsid w:val="004276E3"/>
    <w:rsid w:val="00427B9D"/>
    <w:rsid w:val="00427BFB"/>
    <w:rsid w:val="00427E67"/>
    <w:rsid w:val="00430178"/>
    <w:rsid w:val="0043042C"/>
    <w:rsid w:val="00430495"/>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563"/>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50778"/>
    <w:rsid w:val="00450D3B"/>
    <w:rsid w:val="0045169D"/>
    <w:rsid w:val="004518D5"/>
    <w:rsid w:val="00451A36"/>
    <w:rsid w:val="00451B06"/>
    <w:rsid w:val="00451BEB"/>
    <w:rsid w:val="004520FE"/>
    <w:rsid w:val="004527C0"/>
    <w:rsid w:val="00453871"/>
    <w:rsid w:val="00453DEF"/>
    <w:rsid w:val="004540AC"/>
    <w:rsid w:val="004543E4"/>
    <w:rsid w:val="004548E5"/>
    <w:rsid w:val="00454ACD"/>
    <w:rsid w:val="00454F08"/>
    <w:rsid w:val="00454F85"/>
    <w:rsid w:val="00455105"/>
    <w:rsid w:val="00455B32"/>
    <w:rsid w:val="00455E20"/>
    <w:rsid w:val="00456114"/>
    <w:rsid w:val="0045623E"/>
    <w:rsid w:val="00456971"/>
    <w:rsid w:val="00456AC7"/>
    <w:rsid w:val="0045742D"/>
    <w:rsid w:val="00457C5E"/>
    <w:rsid w:val="00457F1F"/>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FCE"/>
    <w:rsid w:val="004670AB"/>
    <w:rsid w:val="00467A47"/>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3CE"/>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4EB"/>
    <w:rsid w:val="004949D8"/>
    <w:rsid w:val="00494E75"/>
    <w:rsid w:val="00495071"/>
    <w:rsid w:val="004961DB"/>
    <w:rsid w:val="0049653E"/>
    <w:rsid w:val="00496BEF"/>
    <w:rsid w:val="00496DC2"/>
    <w:rsid w:val="00496E38"/>
    <w:rsid w:val="00497C03"/>
    <w:rsid w:val="004A01E1"/>
    <w:rsid w:val="004A0D01"/>
    <w:rsid w:val="004A0E00"/>
    <w:rsid w:val="004A15F7"/>
    <w:rsid w:val="004A1600"/>
    <w:rsid w:val="004A1AE5"/>
    <w:rsid w:val="004A1DAA"/>
    <w:rsid w:val="004A201F"/>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D5C"/>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08A0"/>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208"/>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5FD0"/>
    <w:rsid w:val="004C63D6"/>
    <w:rsid w:val="004C660B"/>
    <w:rsid w:val="004C730E"/>
    <w:rsid w:val="004C7739"/>
    <w:rsid w:val="004C78B0"/>
    <w:rsid w:val="004C7AC8"/>
    <w:rsid w:val="004C7BDF"/>
    <w:rsid w:val="004C7FAD"/>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AF8"/>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03"/>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5B0"/>
    <w:rsid w:val="005179DC"/>
    <w:rsid w:val="0052001B"/>
    <w:rsid w:val="005201F2"/>
    <w:rsid w:val="00520AE3"/>
    <w:rsid w:val="00521294"/>
    <w:rsid w:val="00521D65"/>
    <w:rsid w:val="005221A4"/>
    <w:rsid w:val="00523366"/>
    <w:rsid w:val="0052372B"/>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9B3"/>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814"/>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738"/>
    <w:rsid w:val="005467D6"/>
    <w:rsid w:val="00546942"/>
    <w:rsid w:val="00546D63"/>
    <w:rsid w:val="005471A3"/>
    <w:rsid w:val="005474B6"/>
    <w:rsid w:val="005474C6"/>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0EF"/>
    <w:rsid w:val="00553A48"/>
    <w:rsid w:val="00553ABB"/>
    <w:rsid w:val="0055410A"/>
    <w:rsid w:val="005546A4"/>
    <w:rsid w:val="005547CB"/>
    <w:rsid w:val="00554DF7"/>
    <w:rsid w:val="005552B9"/>
    <w:rsid w:val="00555520"/>
    <w:rsid w:val="00555713"/>
    <w:rsid w:val="00555772"/>
    <w:rsid w:val="00555884"/>
    <w:rsid w:val="00555D6F"/>
    <w:rsid w:val="00556680"/>
    <w:rsid w:val="005567BF"/>
    <w:rsid w:val="005569D2"/>
    <w:rsid w:val="00556F3D"/>
    <w:rsid w:val="005570E7"/>
    <w:rsid w:val="0055718D"/>
    <w:rsid w:val="00557464"/>
    <w:rsid w:val="005575DE"/>
    <w:rsid w:val="0055771C"/>
    <w:rsid w:val="00557A2C"/>
    <w:rsid w:val="00557CAB"/>
    <w:rsid w:val="00557D87"/>
    <w:rsid w:val="00560637"/>
    <w:rsid w:val="00560AC9"/>
    <w:rsid w:val="00561250"/>
    <w:rsid w:val="0056134D"/>
    <w:rsid w:val="00561A95"/>
    <w:rsid w:val="00561BF6"/>
    <w:rsid w:val="00562757"/>
    <w:rsid w:val="005627C0"/>
    <w:rsid w:val="00562CDC"/>
    <w:rsid w:val="00563FD2"/>
    <w:rsid w:val="0056434D"/>
    <w:rsid w:val="00564597"/>
    <w:rsid w:val="005648A0"/>
    <w:rsid w:val="00564EB9"/>
    <w:rsid w:val="00567191"/>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04"/>
    <w:rsid w:val="005836D0"/>
    <w:rsid w:val="00583DEF"/>
    <w:rsid w:val="00583E78"/>
    <w:rsid w:val="00584496"/>
    <w:rsid w:val="00584FAE"/>
    <w:rsid w:val="005852AA"/>
    <w:rsid w:val="00585867"/>
    <w:rsid w:val="00585C3A"/>
    <w:rsid w:val="00586013"/>
    <w:rsid w:val="0058628A"/>
    <w:rsid w:val="00586B34"/>
    <w:rsid w:val="00587117"/>
    <w:rsid w:val="0058759B"/>
    <w:rsid w:val="0058764D"/>
    <w:rsid w:val="00587D0C"/>
    <w:rsid w:val="005909AD"/>
    <w:rsid w:val="00590BF6"/>
    <w:rsid w:val="00591B9C"/>
    <w:rsid w:val="00592160"/>
    <w:rsid w:val="005923C9"/>
    <w:rsid w:val="0059284F"/>
    <w:rsid w:val="00592E68"/>
    <w:rsid w:val="0059323A"/>
    <w:rsid w:val="00593447"/>
    <w:rsid w:val="005937D1"/>
    <w:rsid w:val="00594131"/>
    <w:rsid w:val="005943C6"/>
    <w:rsid w:val="005946E2"/>
    <w:rsid w:val="0059486C"/>
    <w:rsid w:val="00594ED3"/>
    <w:rsid w:val="00595308"/>
    <w:rsid w:val="00595777"/>
    <w:rsid w:val="00595DA2"/>
    <w:rsid w:val="00595E51"/>
    <w:rsid w:val="00595E99"/>
    <w:rsid w:val="00596308"/>
    <w:rsid w:val="005968C4"/>
    <w:rsid w:val="0059715B"/>
    <w:rsid w:val="0059751D"/>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605"/>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76D"/>
    <w:rsid w:val="005C3BBA"/>
    <w:rsid w:val="005C4B4D"/>
    <w:rsid w:val="005C4DE3"/>
    <w:rsid w:val="005C5024"/>
    <w:rsid w:val="005C5372"/>
    <w:rsid w:val="005C5379"/>
    <w:rsid w:val="005C5425"/>
    <w:rsid w:val="005C5849"/>
    <w:rsid w:val="005C5A28"/>
    <w:rsid w:val="005C6222"/>
    <w:rsid w:val="005C6424"/>
    <w:rsid w:val="005C6B26"/>
    <w:rsid w:val="005C772B"/>
    <w:rsid w:val="005C7A54"/>
    <w:rsid w:val="005C7CAD"/>
    <w:rsid w:val="005C7CB8"/>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888"/>
    <w:rsid w:val="005E7A8C"/>
    <w:rsid w:val="005F00CC"/>
    <w:rsid w:val="005F06FA"/>
    <w:rsid w:val="005F06FD"/>
    <w:rsid w:val="005F0AB9"/>
    <w:rsid w:val="005F0B4C"/>
    <w:rsid w:val="005F0B53"/>
    <w:rsid w:val="005F0C46"/>
    <w:rsid w:val="005F1730"/>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A21"/>
    <w:rsid w:val="00625B24"/>
    <w:rsid w:val="0062657C"/>
    <w:rsid w:val="00626C25"/>
    <w:rsid w:val="00626E64"/>
    <w:rsid w:val="00626ECE"/>
    <w:rsid w:val="0062725A"/>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3D0"/>
    <w:rsid w:val="00635EDC"/>
    <w:rsid w:val="00635F56"/>
    <w:rsid w:val="00636094"/>
    <w:rsid w:val="0063633A"/>
    <w:rsid w:val="0063650D"/>
    <w:rsid w:val="00636A76"/>
    <w:rsid w:val="0063720A"/>
    <w:rsid w:val="00637369"/>
    <w:rsid w:val="006373C7"/>
    <w:rsid w:val="006379CE"/>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ABD"/>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213"/>
    <w:rsid w:val="00671B4F"/>
    <w:rsid w:val="006725CC"/>
    <w:rsid w:val="0067273D"/>
    <w:rsid w:val="00672966"/>
    <w:rsid w:val="006735BC"/>
    <w:rsid w:val="00673BDE"/>
    <w:rsid w:val="00673EB7"/>
    <w:rsid w:val="00673FBF"/>
    <w:rsid w:val="006740F1"/>
    <w:rsid w:val="0067439E"/>
    <w:rsid w:val="00674460"/>
    <w:rsid w:val="006754D4"/>
    <w:rsid w:val="00675652"/>
    <w:rsid w:val="006758E5"/>
    <w:rsid w:val="00675D28"/>
    <w:rsid w:val="00675ECB"/>
    <w:rsid w:val="0067649C"/>
    <w:rsid w:val="006767B8"/>
    <w:rsid w:val="00677725"/>
    <w:rsid w:val="00677F10"/>
    <w:rsid w:val="0068013A"/>
    <w:rsid w:val="00680A97"/>
    <w:rsid w:val="00680F30"/>
    <w:rsid w:val="00680F72"/>
    <w:rsid w:val="00680F81"/>
    <w:rsid w:val="0068102D"/>
    <w:rsid w:val="00681254"/>
    <w:rsid w:val="00681307"/>
    <w:rsid w:val="006820C0"/>
    <w:rsid w:val="0068226B"/>
    <w:rsid w:val="00682E47"/>
    <w:rsid w:val="00682ED3"/>
    <w:rsid w:val="00683D7F"/>
    <w:rsid w:val="00683E9E"/>
    <w:rsid w:val="00684258"/>
    <w:rsid w:val="006845C9"/>
    <w:rsid w:val="00684C41"/>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1F47"/>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9D6"/>
    <w:rsid w:val="00696B6A"/>
    <w:rsid w:val="00696DD1"/>
    <w:rsid w:val="00697409"/>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DCD"/>
    <w:rsid w:val="006A5E26"/>
    <w:rsid w:val="006A6B3F"/>
    <w:rsid w:val="006A6B69"/>
    <w:rsid w:val="006A74C0"/>
    <w:rsid w:val="006A7574"/>
    <w:rsid w:val="006A78D9"/>
    <w:rsid w:val="006A7BDA"/>
    <w:rsid w:val="006B0489"/>
    <w:rsid w:val="006B05F5"/>
    <w:rsid w:val="006B0A30"/>
    <w:rsid w:val="006B11AA"/>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C03B2"/>
    <w:rsid w:val="006C04CC"/>
    <w:rsid w:val="006C09DD"/>
    <w:rsid w:val="006C0B08"/>
    <w:rsid w:val="006C1142"/>
    <w:rsid w:val="006C1A29"/>
    <w:rsid w:val="006C1B3F"/>
    <w:rsid w:val="006C1F77"/>
    <w:rsid w:val="006C22BD"/>
    <w:rsid w:val="006C2604"/>
    <w:rsid w:val="006C2E01"/>
    <w:rsid w:val="006C2E3D"/>
    <w:rsid w:val="006C3309"/>
    <w:rsid w:val="006C375B"/>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7F3"/>
    <w:rsid w:val="006D0846"/>
    <w:rsid w:val="006D0C09"/>
    <w:rsid w:val="006D1863"/>
    <w:rsid w:val="006D1A23"/>
    <w:rsid w:val="006D1B83"/>
    <w:rsid w:val="006D1DFA"/>
    <w:rsid w:val="006D1F1A"/>
    <w:rsid w:val="006D2039"/>
    <w:rsid w:val="006D21FF"/>
    <w:rsid w:val="006D23C8"/>
    <w:rsid w:val="006D31AF"/>
    <w:rsid w:val="006D31DD"/>
    <w:rsid w:val="006D35CD"/>
    <w:rsid w:val="006D3D01"/>
    <w:rsid w:val="006D3F33"/>
    <w:rsid w:val="006D4133"/>
    <w:rsid w:val="006D4373"/>
    <w:rsid w:val="006D492A"/>
    <w:rsid w:val="006D493C"/>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69"/>
    <w:rsid w:val="006E176F"/>
    <w:rsid w:val="006E1A68"/>
    <w:rsid w:val="006E1C34"/>
    <w:rsid w:val="006E1E45"/>
    <w:rsid w:val="006E22CC"/>
    <w:rsid w:val="006E3D3A"/>
    <w:rsid w:val="006E4646"/>
    <w:rsid w:val="006E512D"/>
    <w:rsid w:val="006E5477"/>
    <w:rsid w:val="006E554E"/>
    <w:rsid w:val="006E5AFE"/>
    <w:rsid w:val="006E696A"/>
    <w:rsid w:val="006E6C33"/>
    <w:rsid w:val="006E6F03"/>
    <w:rsid w:val="006E71A8"/>
    <w:rsid w:val="006E71B0"/>
    <w:rsid w:val="006E7496"/>
    <w:rsid w:val="006E7883"/>
    <w:rsid w:val="006E7969"/>
    <w:rsid w:val="006E7E49"/>
    <w:rsid w:val="006E7F71"/>
    <w:rsid w:val="006F0209"/>
    <w:rsid w:val="006F05C2"/>
    <w:rsid w:val="006F07F5"/>
    <w:rsid w:val="006F090B"/>
    <w:rsid w:val="006F0C12"/>
    <w:rsid w:val="006F0DB2"/>
    <w:rsid w:val="006F0E38"/>
    <w:rsid w:val="006F0EB1"/>
    <w:rsid w:val="006F1D86"/>
    <w:rsid w:val="006F1E30"/>
    <w:rsid w:val="006F20A6"/>
    <w:rsid w:val="006F291E"/>
    <w:rsid w:val="006F2FFF"/>
    <w:rsid w:val="006F3052"/>
    <w:rsid w:val="006F314D"/>
    <w:rsid w:val="006F38F2"/>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D30"/>
    <w:rsid w:val="00701F97"/>
    <w:rsid w:val="007029C4"/>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7FD"/>
    <w:rsid w:val="007229BA"/>
    <w:rsid w:val="00722B61"/>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3FE"/>
    <w:rsid w:val="007279F1"/>
    <w:rsid w:val="00727E9F"/>
    <w:rsid w:val="0073128B"/>
    <w:rsid w:val="0073150C"/>
    <w:rsid w:val="0073171A"/>
    <w:rsid w:val="007325D3"/>
    <w:rsid w:val="00732885"/>
    <w:rsid w:val="00733858"/>
    <w:rsid w:val="00733A80"/>
    <w:rsid w:val="0073487C"/>
    <w:rsid w:val="0073497A"/>
    <w:rsid w:val="007351F6"/>
    <w:rsid w:val="0073532A"/>
    <w:rsid w:val="00735CBD"/>
    <w:rsid w:val="00735E35"/>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9E0"/>
    <w:rsid w:val="00741A56"/>
    <w:rsid w:val="007420C9"/>
    <w:rsid w:val="00742695"/>
    <w:rsid w:val="00742A51"/>
    <w:rsid w:val="00743468"/>
    <w:rsid w:val="007436B1"/>
    <w:rsid w:val="007436D5"/>
    <w:rsid w:val="00743867"/>
    <w:rsid w:val="00744055"/>
    <w:rsid w:val="0074443A"/>
    <w:rsid w:val="007445E5"/>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924"/>
    <w:rsid w:val="0076295C"/>
    <w:rsid w:val="00762A95"/>
    <w:rsid w:val="00762FA7"/>
    <w:rsid w:val="00763055"/>
    <w:rsid w:val="00763432"/>
    <w:rsid w:val="00763448"/>
    <w:rsid w:val="00763EB7"/>
    <w:rsid w:val="00764043"/>
    <w:rsid w:val="00764AC2"/>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CEE"/>
    <w:rsid w:val="00771CEB"/>
    <w:rsid w:val="00771E07"/>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CEC"/>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214"/>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2F93"/>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253"/>
    <w:rsid w:val="007B073B"/>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C15"/>
    <w:rsid w:val="007B7D58"/>
    <w:rsid w:val="007B7E59"/>
    <w:rsid w:val="007C0693"/>
    <w:rsid w:val="007C0880"/>
    <w:rsid w:val="007C0AE5"/>
    <w:rsid w:val="007C0AE9"/>
    <w:rsid w:val="007C0BD2"/>
    <w:rsid w:val="007C0F3A"/>
    <w:rsid w:val="007C0FA1"/>
    <w:rsid w:val="007C1065"/>
    <w:rsid w:val="007C107C"/>
    <w:rsid w:val="007C1328"/>
    <w:rsid w:val="007C14BD"/>
    <w:rsid w:val="007C1537"/>
    <w:rsid w:val="007C198E"/>
    <w:rsid w:val="007C1B94"/>
    <w:rsid w:val="007C1DFC"/>
    <w:rsid w:val="007C26FF"/>
    <w:rsid w:val="007C2A39"/>
    <w:rsid w:val="007C2AAF"/>
    <w:rsid w:val="007C301B"/>
    <w:rsid w:val="007C3045"/>
    <w:rsid w:val="007C3C91"/>
    <w:rsid w:val="007C3D88"/>
    <w:rsid w:val="007C3EE5"/>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11B6"/>
    <w:rsid w:val="007D149C"/>
    <w:rsid w:val="007D163B"/>
    <w:rsid w:val="007D1B7C"/>
    <w:rsid w:val="007D214A"/>
    <w:rsid w:val="007D2EE7"/>
    <w:rsid w:val="007D357E"/>
    <w:rsid w:val="007D3889"/>
    <w:rsid w:val="007D39D7"/>
    <w:rsid w:val="007D478D"/>
    <w:rsid w:val="007D4834"/>
    <w:rsid w:val="007D4838"/>
    <w:rsid w:val="007D4956"/>
    <w:rsid w:val="007D4FF2"/>
    <w:rsid w:val="007D5033"/>
    <w:rsid w:val="007D512C"/>
    <w:rsid w:val="007D526F"/>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6BFC"/>
    <w:rsid w:val="007E732E"/>
    <w:rsid w:val="007E741E"/>
    <w:rsid w:val="007E7B2B"/>
    <w:rsid w:val="007E7E6F"/>
    <w:rsid w:val="007F05E0"/>
    <w:rsid w:val="007F0B77"/>
    <w:rsid w:val="007F0B82"/>
    <w:rsid w:val="007F0DD3"/>
    <w:rsid w:val="007F1083"/>
    <w:rsid w:val="007F18C0"/>
    <w:rsid w:val="007F2477"/>
    <w:rsid w:val="007F2DBB"/>
    <w:rsid w:val="007F2ED4"/>
    <w:rsid w:val="007F305A"/>
    <w:rsid w:val="007F3960"/>
    <w:rsid w:val="007F3FB0"/>
    <w:rsid w:val="007F43A9"/>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70F"/>
    <w:rsid w:val="00802FDA"/>
    <w:rsid w:val="00803160"/>
    <w:rsid w:val="008036F8"/>
    <w:rsid w:val="0080397E"/>
    <w:rsid w:val="00803E2E"/>
    <w:rsid w:val="00803FD6"/>
    <w:rsid w:val="008041E1"/>
    <w:rsid w:val="00804867"/>
    <w:rsid w:val="00804B2F"/>
    <w:rsid w:val="00804C2A"/>
    <w:rsid w:val="00804D80"/>
    <w:rsid w:val="008050E9"/>
    <w:rsid w:val="008053AD"/>
    <w:rsid w:val="00805D11"/>
    <w:rsid w:val="0080656E"/>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C92"/>
    <w:rsid w:val="00816D94"/>
    <w:rsid w:val="00816D9C"/>
    <w:rsid w:val="00817151"/>
    <w:rsid w:val="0081787C"/>
    <w:rsid w:val="00817B8F"/>
    <w:rsid w:val="00817C96"/>
    <w:rsid w:val="00817CB0"/>
    <w:rsid w:val="00817D2A"/>
    <w:rsid w:val="00817F27"/>
    <w:rsid w:val="008208A5"/>
    <w:rsid w:val="00820A96"/>
    <w:rsid w:val="00820C15"/>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F1B"/>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66B"/>
    <w:rsid w:val="00845A92"/>
    <w:rsid w:val="00845F51"/>
    <w:rsid w:val="00846106"/>
    <w:rsid w:val="00846273"/>
    <w:rsid w:val="00846467"/>
    <w:rsid w:val="00846661"/>
    <w:rsid w:val="00846AC4"/>
    <w:rsid w:val="00846C77"/>
    <w:rsid w:val="00846E99"/>
    <w:rsid w:val="00847964"/>
    <w:rsid w:val="00847991"/>
    <w:rsid w:val="00847C4E"/>
    <w:rsid w:val="00847F69"/>
    <w:rsid w:val="00850AE8"/>
    <w:rsid w:val="00850B13"/>
    <w:rsid w:val="00851B22"/>
    <w:rsid w:val="0085208C"/>
    <w:rsid w:val="00852338"/>
    <w:rsid w:val="008525FA"/>
    <w:rsid w:val="00852AA6"/>
    <w:rsid w:val="00853C45"/>
    <w:rsid w:val="00854090"/>
    <w:rsid w:val="008540C8"/>
    <w:rsid w:val="00854983"/>
    <w:rsid w:val="00854A91"/>
    <w:rsid w:val="00854E0E"/>
    <w:rsid w:val="00856281"/>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6FE"/>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15D"/>
    <w:rsid w:val="00890450"/>
    <w:rsid w:val="008907B2"/>
    <w:rsid w:val="00890BCD"/>
    <w:rsid w:val="00890E0D"/>
    <w:rsid w:val="00890F04"/>
    <w:rsid w:val="00890FBE"/>
    <w:rsid w:val="00891F63"/>
    <w:rsid w:val="00892253"/>
    <w:rsid w:val="008922DF"/>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6ED"/>
    <w:rsid w:val="008A3898"/>
    <w:rsid w:val="008A3FC5"/>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1D1B"/>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C1161"/>
    <w:rsid w:val="008C2135"/>
    <w:rsid w:val="008C2236"/>
    <w:rsid w:val="008C2426"/>
    <w:rsid w:val="008C2453"/>
    <w:rsid w:val="008C26B4"/>
    <w:rsid w:val="008C2767"/>
    <w:rsid w:val="008C2BC8"/>
    <w:rsid w:val="008C3466"/>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3D0D"/>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8A"/>
    <w:rsid w:val="008E76C6"/>
    <w:rsid w:val="008E7DB3"/>
    <w:rsid w:val="008E7F9D"/>
    <w:rsid w:val="008F005E"/>
    <w:rsid w:val="008F0090"/>
    <w:rsid w:val="008F01AB"/>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3281"/>
    <w:rsid w:val="009036BA"/>
    <w:rsid w:val="00903F0F"/>
    <w:rsid w:val="00903F59"/>
    <w:rsid w:val="0090421A"/>
    <w:rsid w:val="009045C7"/>
    <w:rsid w:val="0090480E"/>
    <w:rsid w:val="00904A62"/>
    <w:rsid w:val="00904B6D"/>
    <w:rsid w:val="00904D35"/>
    <w:rsid w:val="00904D3D"/>
    <w:rsid w:val="00904E71"/>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085"/>
    <w:rsid w:val="00950781"/>
    <w:rsid w:val="009509D7"/>
    <w:rsid w:val="00950B09"/>
    <w:rsid w:val="00950DD1"/>
    <w:rsid w:val="00950FFB"/>
    <w:rsid w:val="0095130F"/>
    <w:rsid w:val="00951417"/>
    <w:rsid w:val="0095154C"/>
    <w:rsid w:val="0095183E"/>
    <w:rsid w:val="00951995"/>
    <w:rsid w:val="00951C7E"/>
    <w:rsid w:val="00951CF6"/>
    <w:rsid w:val="0095261D"/>
    <w:rsid w:val="009526F1"/>
    <w:rsid w:val="00952ACA"/>
    <w:rsid w:val="00952C70"/>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73C6"/>
    <w:rsid w:val="00957487"/>
    <w:rsid w:val="0095766D"/>
    <w:rsid w:val="00957B6B"/>
    <w:rsid w:val="00957D9C"/>
    <w:rsid w:val="00957E93"/>
    <w:rsid w:val="009603AB"/>
    <w:rsid w:val="00960475"/>
    <w:rsid w:val="00960479"/>
    <w:rsid w:val="009607AF"/>
    <w:rsid w:val="00960A88"/>
    <w:rsid w:val="00960C68"/>
    <w:rsid w:val="00960CB6"/>
    <w:rsid w:val="00960D27"/>
    <w:rsid w:val="00961023"/>
    <w:rsid w:val="009611DA"/>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E1E"/>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5ABF"/>
    <w:rsid w:val="009765CF"/>
    <w:rsid w:val="00976989"/>
    <w:rsid w:val="00976D1B"/>
    <w:rsid w:val="00976FFB"/>
    <w:rsid w:val="00977852"/>
    <w:rsid w:val="009778AB"/>
    <w:rsid w:val="0098036D"/>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053"/>
    <w:rsid w:val="009873AF"/>
    <w:rsid w:val="009875A6"/>
    <w:rsid w:val="009876A0"/>
    <w:rsid w:val="009879B5"/>
    <w:rsid w:val="009879F4"/>
    <w:rsid w:val="00987A56"/>
    <w:rsid w:val="00987E33"/>
    <w:rsid w:val="0099005F"/>
    <w:rsid w:val="009908F7"/>
    <w:rsid w:val="00990E93"/>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A69"/>
    <w:rsid w:val="00997CA3"/>
    <w:rsid w:val="009A0212"/>
    <w:rsid w:val="009A031F"/>
    <w:rsid w:val="009A0C1F"/>
    <w:rsid w:val="009A12A5"/>
    <w:rsid w:val="009A1DC8"/>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EEF"/>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534"/>
    <w:rsid w:val="009F5606"/>
    <w:rsid w:val="009F5CA4"/>
    <w:rsid w:val="009F6410"/>
    <w:rsid w:val="009F6457"/>
    <w:rsid w:val="009F7169"/>
    <w:rsid w:val="009F7883"/>
    <w:rsid w:val="009F79BE"/>
    <w:rsid w:val="009F7B16"/>
    <w:rsid w:val="009F7E80"/>
    <w:rsid w:val="00A0018E"/>
    <w:rsid w:val="00A0073B"/>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92B"/>
    <w:rsid w:val="00A13B10"/>
    <w:rsid w:val="00A13CF1"/>
    <w:rsid w:val="00A145D0"/>
    <w:rsid w:val="00A157EC"/>
    <w:rsid w:val="00A158D3"/>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5BF"/>
    <w:rsid w:val="00A205D4"/>
    <w:rsid w:val="00A2104B"/>
    <w:rsid w:val="00A210E9"/>
    <w:rsid w:val="00A21869"/>
    <w:rsid w:val="00A218AE"/>
    <w:rsid w:val="00A21A9D"/>
    <w:rsid w:val="00A21AAA"/>
    <w:rsid w:val="00A21BF5"/>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B63"/>
    <w:rsid w:val="00A26D60"/>
    <w:rsid w:val="00A26EE0"/>
    <w:rsid w:val="00A2702B"/>
    <w:rsid w:val="00A279DC"/>
    <w:rsid w:val="00A27EDA"/>
    <w:rsid w:val="00A303B8"/>
    <w:rsid w:val="00A305FB"/>
    <w:rsid w:val="00A30703"/>
    <w:rsid w:val="00A30BAE"/>
    <w:rsid w:val="00A3135B"/>
    <w:rsid w:val="00A313D0"/>
    <w:rsid w:val="00A314A9"/>
    <w:rsid w:val="00A31591"/>
    <w:rsid w:val="00A31C49"/>
    <w:rsid w:val="00A31E88"/>
    <w:rsid w:val="00A321EE"/>
    <w:rsid w:val="00A3226E"/>
    <w:rsid w:val="00A32284"/>
    <w:rsid w:val="00A325C2"/>
    <w:rsid w:val="00A325CC"/>
    <w:rsid w:val="00A327E2"/>
    <w:rsid w:val="00A329BB"/>
    <w:rsid w:val="00A32C37"/>
    <w:rsid w:val="00A3331F"/>
    <w:rsid w:val="00A337E6"/>
    <w:rsid w:val="00A3393A"/>
    <w:rsid w:val="00A34685"/>
    <w:rsid w:val="00A34DA0"/>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920"/>
    <w:rsid w:val="00A44E28"/>
    <w:rsid w:val="00A44F39"/>
    <w:rsid w:val="00A45371"/>
    <w:rsid w:val="00A4570E"/>
    <w:rsid w:val="00A4579D"/>
    <w:rsid w:val="00A45A3B"/>
    <w:rsid w:val="00A45C5B"/>
    <w:rsid w:val="00A45EFA"/>
    <w:rsid w:val="00A46451"/>
    <w:rsid w:val="00A46AE4"/>
    <w:rsid w:val="00A46FAD"/>
    <w:rsid w:val="00A47B4B"/>
    <w:rsid w:val="00A5044D"/>
    <w:rsid w:val="00A50B00"/>
    <w:rsid w:val="00A50D49"/>
    <w:rsid w:val="00A511FB"/>
    <w:rsid w:val="00A514EB"/>
    <w:rsid w:val="00A521E0"/>
    <w:rsid w:val="00A524C8"/>
    <w:rsid w:val="00A5291D"/>
    <w:rsid w:val="00A52EDB"/>
    <w:rsid w:val="00A52EED"/>
    <w:rsid w:val="00A532E0"/>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B"/>
    <w:rsid w:val="00A623EF"/>
    <w:rsid w:val="00A62454"/>
    <w:rsid w:val="00A627E0"/>
    <w:rsid w:val="00A62953"/>
    <w:rsid w:val="00A63244"/>
    <w:rsid w:val="00A6367F"/>
    <w:rsid w:val="00A63872"/>
    <w:rsid w:val="00A63A37"/>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A8"/>
    <w:rsid w:val="00A84EBF"/>
    <w:rsid w:val="00A85237"/>
    <w:rsid w:val="00A8523D"/>
    <w:rsid w:val="00A85661"/>
    <w:rsid w:val="00A85FFF"/>
    <w:rsid w:val="00A86742"/>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A81"/>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28F"/>
    <w:rsid w:val="00AC0CC3"/>
    <w:rsid w:val="00AC125F"/>
    <w:rsid w:val="00AC1281"/>
    <w:rsid w:val="00AC21BA"/>
    <w:rsid w:val="00AC22C7"/>
    <w:rsid w:val="00AC26C7"/>
    <w:rsid w:val="00AC2D4E"/>
    <w:rsid w:val="00AC3084"/>
    <w:rsid w:val="00AC31A8"/>
    <w:rsid w:val="00AC3431"/>
    <w:rsid w:val="00AC38E9"/>
    <w:rsid w:val="00AC3B62"/>
    <w:rsid w:val="00AC45D6"/>
    <w:rsid w:val="00AC4D1B"/>
    <w:rsid w:val="00AC4D53"/>
    <w:rsid w:val="00AC4D9E"/>
    <w:rsid w:val="00AC4E2E"/>
    <w:rsid w:val="00AC5978"/>
    <w:rsid w:val="00AC5C2A"/>
    <w:rsid w:val="00AC61B3"/>
    <w:rsid w:val="00AC63F4"/>
    <w:rsid w:val="00AC6490"/>
    <w:rsid w:val="00AC6786"/>
    <w:rsid w:val="00AC7470"/>
    <w:rsid w:val="00AC759B"/>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57E1"/>
    <w:rsid w:val="00AD5F7C"/>
    <w:rsid w:val="00AD6980"/>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65C"/>
    <w:rsid w:val="00B01CC2"/>
    <w:rsid w:val="00B01F0D"/>
    <w:rsid w:val="00B02014"/>
    <w:rsid w:val="00B0226D"/>
    <w:rsid w:val="00B023FC"/>
    <w:rsid w:val="00B02A4C"/>
    <w:rsid w:val="00B02AD0"/>
    <w:rsid w:val="00B03101"/>
    <w:rsid w:val="00B039CE"/>
    <w:rsid w:val="00B03BB8"/>
    <w:rsid w:val="00B03D26"/>
    <w:rsid w:val="00B04451"/>
    <w:rsid w:val="00B04AD7"/>
    <w:rsid w:val="00B04D36"/>
    <w:rsid w:val="00B04F11"/>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32CB"/>
    <w:rsid w:val="00B233A9"/>
    <w:rsid w:val="00B239CC"/>
    <w:rsid w:val="00B23C57"/>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452"/>
    <w:rsid w:val="00B338CE"/>
    <w:rsid w:val="00B3396B"/>
    <w:rsid w:val="00B33B6C"/>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86E"/>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D2F"/>
    <w:rsid w:val="00B664EC"/>
    <w:rsid w:val="00B66801"/>
    <w:rsid w:val="00B668B4"/>
    <w:rsid w:val="00B66FFC"/>
    <w:rsid w:val="00B6796C"/>
    <w:rsid w:val="00B67B2B"/>
    <w:rsid w:val="00B7017E"/>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73F"/>
    <w:rsid w:val="00B75A5C"/>
    <w:rsid w:val="00B7646F"/>
    <w:rsid w:val="00B77062"/>
    <w:rsid w:val="00B7709F"/>
    <w:rsid w:val="00B770A1"/>
    <w:rsid w:val="00B77104"/>
    <w:rsid w:val="00B774CC"/>
    <w:rsid w:val="00B77B57"/>
    <w:rsid w:val="00B77D8A"/>
    <w:rsid w:val="00B8053A"/>
    <w:rsid w:val="00B80795"/>
    <w:rsid w:val="00B80F5B"/>
    <w:rsid w:val="00B81578"/>
    <w:rsid w:val="00B8166A"/>
    <w:rsid w:val="00B81684"/>
    <w:rsid w:val="00B817F4"/>
    <w:rsid w:val="00B81F1C"/>
    <w:rsid w:val="00B820AE"/>
    <w:rsid w:val="00B821AB"/>
    <w:rsid w:val="00B823C6"/>
    <w:rsid w:val="00B82A8C"/>
    <w:rsid w:val="00B830F7"/>
    <w:rsid w:val="00B8321E"/>
    <w:rsid w:val="00B837F5"/>
    <w:rsid w:val="00B83AC3"/>
    <w:rsid w:val="00B83DAC"/>
    <w:rsid w:val="00B83DF6"/>
    <w:rsid w:val="00B84BE8"/>
    <w:rsid w:val="00B855A8"/>
    <w:rsid w:val="00B85837"/>
    <w:rsid w:val="00B85F67"/>
    <w:rsid w:val="00B86557"/>
    <w:rsid w:val="00B86D87"/>
    <w:rsid w:val="00B87324"/>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4CA0"/>
    <w:rsid w:val="00B950E8"/>
    <w:rsid w:val="00B95372"/>
    <w:rsid w:val="00B954FC"/>
    <w:rsid w:val="00B95A04"/>
    <w:rsid w:val="00B95C49"/>
    <w:rsid w:val="00B95EEF"/>
    <w:rsid w:val="00B95FD7"/>
    <w:rsid w:val="00B96228"/>
    <w:rsid w:val="00B96313"/>
    <w:rsid w:val="00B96CF0"/>
    <w:rsid w:val="00B96DA2"/>
    <w:rsid w:val="00B97059"/>
    <w:rsid w:val="00B977E6"/>
    <w:rsid w:val="00B97E1B"/>
    <w:rsid w:val="00BA067F"/>
    <w:rsid w:val="00BA13E0"/>
    <w:rsid w:val="00BA1704"/>
    <w:rsid w:val="00BA17C4"/>
    <w:rsid w:val="00BA270E"/>
    <w:rsid w:val="00BA2729"/>
    <w:rsid w:val="00BA283C"/>
    <w:rsid w:val="00BA2AEB"/>
    <w:rsid w:val="00BA2B01"/>
    <w:rsid w:val="00BA2B41"/>
    <w:rsid w:val="00BA3603"/>
    <w:rsid w:val="00BA388C"/>
    <w:rsid w:val="00BA3974"/>
    <w:rsid w:val="00BA3C13"/>
    <w:rsid w:val="00BA3CC9"/>
    <w:rsid w:val="00BA3D2F"/>
    <w:rsid w:val="00BA3F29"/>
    <w:rsid w:val="00BA40BE"/>
    <w:rsid w:val="00BA48E0"/>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C4F"/>
    <w:rsid w:val="00BB20E7"/>
    <w:rsid w:val="00BB225D"/>
    <w:rsid w:val="00BB277B"/>
    <w:rsid w:val="00BB2835"/>
    <w:rsid w:val="00BB284D"/>
    <w:rsid w:val="00BB365A"/>
    <w:rsid w:val="00BB37B0"/>
    <w:rsid w:val="00BB3D91"/>
    <w:rsid w:val="00BB3F4C"/>
    <w:rsid w:val="00BB46A9"/>
    <w:rsid w:val="00BB4A42"/>
    <w:rsid w:val="00BB5075"/>
    <w:rsid w:val="00BB5321"/>
    <w:rsid w:val="00BB5641"/>
    <w:rsid w:val="00BB56F2"/>
    <w:rsid w:val="00BB57E0"/>
    <w:rsid w:val="00BB5846"/>
    <w:rsid w:val="00BB61DC"/>
    <w:rsid w:val="00BB6258"/>
    <w:rsid w:val="00BB6431"/>
    <w:rsid w:val="00BB645D"/>
    <w:rsid w:val="00BB6472"/>
    <w:rsid w:val="00BB71EC"/>
    <w:rsid w:val="00BB724B"/>
    <w:rsid w:val="00BB740F"/>
    <w:rsid w:val="00BB7DB1"/>
    <w:rsid w:val="00BC0AE6"/>
    <w:rsid w:val="00BC143C"/>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410"/>
    <w:rsid w:val="00BD071D"/>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857"/>
    <w:rsid w:val="00BE5C7E"/>
    <w:rsid w:val="00BE5CD9"/>
    <w:rsid w:val="00BE65B3"/>
    <w:rsid w:val="00BE68B9"/>
    <w:rsid w:val="00BE7265"/>
    <w:rsid w:val="00BE7B27"/>
    <w:rsid w:val="00BF02E6"/>
    <w:rsid w:val="00BF0A66"/>
    <w:rsid w:val="00BF10D2"/>
    <w:rsid w:val="00BF10D6"/>
    <w:rsid w:val="00BF120B"/>
    <w:rsid w:val="00BF1309"/>
    <w:rsid w:val="00BF18B9"/>
    <w:rsid w:val="00BF1B70"/>
    <w:rsid w:val="00BF220D"/>
    <w:rsid w:val="00BF2484"/>
    <w:rsid w:val="00BF2817"/>
    <w:rsid w:val="00BF29CE"/>
    <w:rsid w:val="00BF2C65"/>
    <w:rsid w:val="00BF31CB"/>
    <w:rsid w:val="00BF3AE6"/>
    <w:rsid w:val="00BF3C10"/>
    <w:rsid w:val="00BF46F1"/>
    <w:rsid w:val="00BF4923"/>
    <w:rsid w:val="00BF4B69"/>
    <w:rsid w:val="00BF4C99"/>
    <w:rsid w:val="00BF52E8"/>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AE4"/>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07E14"/>
    <w:rsid w:val="00C104CE"/>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119"/>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38D9"/>
    <w:rsid w:val="00C2423A"/>
    <w:rsid w:val="00C244D8"/>
    <w:rsid w:val="00C24789"/>
    <w:rsid w:val="00C24EE5"/>
    <w:rsid w:val="00C250A4"/>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2B4"/>
    <w:rsid w:val="00C42784"/>
    <w:rsid w:val="00C429E1"/>
    <w:rsid w:val="00C439F0"/>
    <w:rsid w:val="00C43CE7"/>
    <w:rsid w:val="00C44189"/>
    <w:rsid w:val="00C447FB"/>
    <w:rsid w:val="00C44F96"/>
    <w:rsid w:val="00C44FF2"/>
    <w:rsid w:val="00C4587D"/>
    <w:rsid w:val="00C45C66"/>
    <w:rsid w:val="00C470AA"/>
    <w:rsid w:val="00C4717C"/>
    <w:rsid w:val="00C47AE8"/>
    <w:rsid w:val="00C47B93"/>
    <w:rsid w:val="00C47BDE"/>
    <w:rsid w:val="00C47EC4"/>
    <w:rsid w:val="00C50227"/>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DB5"/>
    <w:rsid w:val="00C8198E"/>
    <w:rsid w:val="00C81B30"/>
    <w:rsid w:val="00C81B84"/>
    <w:rsid w:val="00C8220B"/>
    <w:rsid w:val="00C822C6"/>
    <w:rsid w:val="00C82387"/>
    <w:rsid w:val="00C823D0"/>
    <w:rsid w:val="00C82732"/>
    <w:rsid w:val="00C83012"/>
    <w:rsid w:val="00C831FC"/>
    <w:rsid w:val="00C8395C"/>
    <w:rsid w:val="00C83D50"/>
    <w:rsid w:val="00C84231"/>
    <w:rsid w:val="00C847C8"/>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49C0"/>
    <w:rsid w:val="00CA4A24"/>
    <w:rsid w:val="00CA4A3F"/>
    <w:rsid w:val="00CA4C14"/>
    <w:rsid w:val="00CA4F58"/>
    <w:rsid w:val="00CA51A0"/>
    <w:rsid w:val="00CA5DA3"/>
    <w:rsid w:val="00CA6156"/>
    <w:rsid w:val="00CA6164"/>
    <w:rsid w:val="00CA6BDF"/>
    <w:rsid w:val="00CA7239"/>
    <w:rsid w:val="00CB010F"/>
    <w:rsid w:val="00CB01BC"/>
    <w:rsid w:val="00CB03CF"/>
    <w:rsid w:val="00CB047F"/>
    <w:rsid w:val="00CB11BD"/>
    <w:rsid w:val="00CB1368"/>
    <w:rsid w:val="00CB167F"/>
    <w:rsid w:val="00CB1C10"/>
    <w:rsid w:val="00CB1F2A"/>
    <w:rsid w:val="00CB299C"/>
    <w:rsid w:val="00CB2BBA"/>
    <w:rsid w:val="00CB35ED"/>
    <w:rsid w:val="00CB39EB"/>
    <w:rsid w:val="00CB41E7"/>
    <w:rsid w:val="00CB480A"/>
    <w:rsid w:val="00CB4FA5"/>
    <w:rsid w:val="00CB5008"/>
    <w:rsid w:val="00CB50DE"/>
    <w:rsid w:val="00CB586B"/>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C7E6E"/>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858"/>
    <w:rsid w:val="00CE2D25"/>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25B"/>
    <w:rsid w:val="00D0033A"/>
    <w:rsid w:val="00D00522"/>
    <w:rsid w:val="00D00B22"/>
    <w:rsid w:val="00D00FCA"/>
    <w:rsid w:val="00D01752"/>
    <w:rsid w:val="00D017EE"/>
    <w:rsid w:val="00D01C73"/>
    <w:rsid w:val="00D02216"/>
    <w:rsid w:val="00D02369"/>
    <w:rsid w:val="00D02683"/>
    <w:rsid w:val="00D02AFC"/>
    <w:rsid w:val="00D02C36"/>
    <w:rsid w:val="00D02E17"/>
    <w:rsid w:val="00D02F2F"/>
    <w:rsid w:val="00D0321D"/>
    <w:rsid w:val="00D04A63"/>
    <w:rsid w:val="00D04FC8"/>
    <w:rsid w:val="00D0505B"/>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DD4"/>
    <w:rsid w:val="00D25E03"/>
    <w:rsid w:val="00D26090"/>
    <w:rsid w:val="00D261FB"/>
    <w:rsid w:val="00D26283"/>
    <w:rsid w:val="00D263B5"/>
    <w:rsid w:val="00D26586"/>
    <w:rsid w:val="00D2664C"/>
    <w:rsid w:val="00D2667F"/>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8B2"/>
    <w:rsid w:val="00D359BB"/>
    <w:rsid w:val="00D35B43"/>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471"/>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621"/>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949"/>
    <w:rsid w:val="00D629D3"/>
    <w:rsid w:val="00D62DEC"/>
    <w:rsid w:val="00D62E00"/>
    <w:rsid w:val="00D63BAD"/>
    <w:rsid w:val="00D6410E"/>
    <w:rsid w:val="00D6420A"/>
    <w:rsid w:val="00D6447E"/>
    <w:rsid w:val="00D645BF"/>
    <w:rsid w:val="00D647F9"/>
    <w:rsid w:val="00D6485C"/>
    <w:rsid w:val="00D64CB8"/>
    <w:rsid w:val="00D651D9"/>
    <w:rsid w:val="00D65404"/>
    <w:rsid w:val="00D6575A"/>
    <w:rsid w:val="00D65837"/>
    <w:rsid w:val="00D65DD6"/>
    <w:rsid w:val="00D66008"/>
    <w:rsid w:val="00D66022"/>
    <w:rsid w:val="00D66065"/>
    <w:rsid w:val="00D669EA"/>
    <w:rsid w:val="00D66C66"/>
    <w:rsid w:val="00D66CE6"/>
    <w:rsid w:val="00D66CEF"/>
    <w:rsid w:val="00D66DAA"/>
    <w:rsid w:val="00D671EF"/>
    <w:rsid w:val="00D67888"/>
    <w:rsid w:val="00D7010A"/>
    <w:rsid w:val="00D7040B"/>
    <w:rsid w:val="00D7066F"/>
    <w:rsid w:val="00D70B5B"/>
    <w:rsid w:val="00D70F5E"/>
    <w:rsid w:val="00D70F87"/>
    <w:rsid w:val="00D7123A"/>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1F6B"/>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0DCF"/>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539"/>
    <w:rsid w:val="00DB1ED6"/>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A73"/>
    <w:rsid w:val="00DC0F93"/>
    <w:rsid w:val="00DC1384"/>
    <w:rsid w:val="00DC1479"/>
    <w:rsid w:val="00DC1624"/>
    <w:rsid w:val="00DC1763"/>
    <w:rsid w:val="00DC1FCC"/>
    <w:rsid w:val="00DC22B7"/>
    <w:rsid w:val="00DC257F"/>
    <w:rsid w:val="00DC2898"/>
    <w:rsid w:val="00DC28A6"/>
    <w:rsid w:val="00DC28EC"/>
    <w:rsid w:val="00DC3417"/>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889"/>
    <w:rsid w:val="00DD59AB"/>
    <w:rsid w:val="00DD5E0E"/>
    <w:rsid w:val="00DD5FFE"/>
    <w:rsid w:val="00DD6396"/>
    <w:rsid w:val="00DD63CD"/>
    <w:rsid w:val="00DD6C70"/>
    <w:rsid w:val="00DD6DA2"/>
    <w:rsid w:val="00DD761C"/>
    <w:rsid w:val="00DE0171"/>
    <w:rsid w:val="00DE0333"/>
    <w:rsid w:val="00DE0558"/>
    <w:rsid w:val="00DE067E"/>
    <w:rsid w:val="00DE088E"/>
    <w:rsid w:val="00DE128B"/>
    <w:rsid w:val="00DE14DB"/>
    <w:rsid w:val="00DE1563"/>
    <w:rsid w:val="00DE1799"/>
    <w:rsid w:val="00DE21CF"/>
    <w:rsid w:val="00DE279F"/>
    <w:rsid w:val="00DE2D4B"/>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DC"/>
    <w:rsid w:val="00DF1300"/>
    <w:rsid w:val="00DF1316"/>
    <w:rsid w:val="00DF1EB6"/>
    <w:rsid w:val="00DF1FD6"/>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BC3"/>
    <w:rsid w:val="00E00368"/>
    <w:rsid w:val="00E005F5"/>
    <w:rsid w:val="00E00A07"/>
    <w:rsid w:val="00E00A92"/>
    <w:rsid w:val="00E01395"/>
    <w:rsid w:val="00E019EA"/>
    <w:rsid w:val="00E01A5C"/>
    <w:rsid w:val="00E028E6"/>
    <w:rsid w:val="00E02C20"/>
    <w:rsid w:val="00E0324B"/>
    <w:rsid w:val="00E0345F"/>
    <w:rsid w:val="00E03B1D"/>
    <w:rsid w:val="00E03BEA"/>
    <w:rsid w:val="00E0401E"/>
    <w:rsid w:val="00E046C1"/>
    <w:rsid w:val="00E048DD"/>
    <w:rsid w:val="00E049EC"/>
    <w:rsid w:val="00E05A43"/>
    <w:rsid w:val="00E05FC4"/>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EB8"/>
    <w:rsid w:val="00E1273A"/>
    <w:rsid w:val="00E12933"/>
    <w:rsid w:val="00E12A5A"/>
    <w:rsid w:val="00E12AF0"/>
    <w:rsid w:val="00E13206"/>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9DC"/>
    <w:rsid w:val="00E24D56"/>
    <w:rsid w:val="00E24ECA"/>
    <w:rsid w:val="00E250DB"/>
    <w:rsid w:val="00E25328"/>
    <w:rsid w:val="00E25334"/>
    <w:rsid w:val="00E25F1D"/>
    <w:rsid w:val="00E25F49"/>
    <w:rsid w:val="00E2617B"/>
    <w:rsid w:val="00E26224"/>
    <w:rsid w:val="00E2690E"/>
    <w:rsid w:val="00E26FB0"/>
    <w:rsid w:val="00E272FE"/>
    <w:rsid w:val="00E30063"/>
    <w:rsid w:val="00E30517"/>
    <w:rsid w:val="00E3070A"/>
    <w:rsid w:val="00E30A72"/>
    <w:rsid w:val="00E30DB2"/>
    <w:rsid w:val="00E31506"/>
    <w:rsid w:val="00E3167F"/>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15A3"/>
    <w:rsid w:val="00E51E23"/>
    <w:rsid w:val="00E523F3"/>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BF7"/>
    <w:rsid w:val="00E86C0C"/>
    <w:rsid w:val="00E87182"/>
    <w:rsid w:val="00E87404"/>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770"/>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15F"/>
    <w:rsid w:val="00EA2271"/>
    <w:rsid w:val="00EA2585"/>
    <w:rsid w:val="00EA2730"/>
    <w:rsid w:val="00EA3641"/>
    <w:rsid w:val="00EA3D67"/>
    <w:rsid w:val="00EA3DB9"/>
    <w:rsid w:val="00EA3EAA"/>
    <w:rsid w:val="00EA449A"/>
    <w:rsid w:val="00EA475F"/>
    <w:rsid w:val="00EA4A36"/>
    <w:rsid w:val="00EA5029"/>
    <w:rsid w:val="00EA5335"/>
    <w:rsid w:val="00EA630B"/>
    <w:rsid w:val="00EA6350"/>
    <w:rsid w:val="00EA6E29"/>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0B9"/>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3AC"/>
    <w:rsid w:val="00EC6D68"/>
    <w:rsid w:val="00EC6D82"/>
    <w:rsid w:val="00EC7183"/>
    <w:rsid w:val="00EC71AB"/>
    <w:rsid w:val="00EC7EE8"/>
    <w:rsid w:val="00ED08FD"/>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5E9A"/>
    <w:rsid w:val="00ED6100"/>
    <w:rsid w:val="00ED6567"/>
    <w:rsid w:val="00ED6768"/>
    <w:rsid w:val="00ED6E4E"/>
    <w:rsid w:val="00ED7BAF"/>
    <w:rsid w:val="00EE0318"/>
    <w:rsid w:val="00EE08BC"/>
    <w:rsid w:val="00EE0935"/>
    <w:rsid w:val="00EE09EA"/>
    <w:rsid w:val="00EE0A49"/>
    <w:rsid w:val="00EE15CA"/>
    <w:rsid w:val="00EE18BB"/>
    <w:rsid w:val="00EE1938"/>
    <w:rsid w:val="00EE1C09"/>
    <w:rsid w:val="00EE1CDA"/>
    <w:rsid w:val="00EE24B7"/>
    <w:rsid w:val="00EE286B"/>
    <w:rsid w:val="00EE2AAB"/>
    <w:rsid w:val="00EE3196"/>
    <w:rsid w:val="00EE3203"/>
    <w:rsid w:val="00EE3318"/>
    <w:rsid w:val="00EE33A6"/>
    <w:rsid w:val="00EE3DCB"/>
    <w:rsid w:val="00EE4825"/>
    <w:rsid w:val="00EE5112"/>
    <w:rsid w:val="00EE62B4"/>
    <w:rsid w:val="00EE636D"/>
    <w:rsid w:val="00EE66B1"/>
    <w:rsid w:val="00EE752C"/>
    <w:rsid w:val="00EE79A3"/>
    <w:rsid w:val="00EE7D91"/>
    <w:rsid w:val="00EE7ECE"/>
    <w:rsid w:val="00EE7F2E"/>
    <w:rsid w:val="00EE7FAF"/>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95A"/>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7EF"/>
    <w:rsid w:val="00F0388F"/>
    <w:rsid w:val="00F03891"/>
    <w:rsid w:val="00F046FD"/>
    <w:rsid w:val="00F04D51"/>
    <w:rsid w:val="00F05EED"/>
    <w:rsid w:val="00F06F02"/>
    <w:rsid w:val="00F10437"/>
    <w:rsid w:val="00F10465"/>
    <w:rsid w:val="00F10864"/>
    <w:rsid w:val="00F10E93"/>
    <w:rsid w:val="00F1165E"/>
    <w:rsid w:val="00F11CF5"/>
    <w:rsid w:val="00F12B3D"/>
    <w:rsid w:val="00F131B6"/>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016"/>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AFE"/>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CB3"/>
    <w:rsid w:val="00F513BA"/>
    <w:rsid w:val="00F51447"/>
    <w:rsid w:val="00F514EF"/>
    <w:rsid w:val="00F516F4"/>
    <w:rsid w:val="00F517FC"/>
    <w:rsid w:val="00F52177"/>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5F93"/>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1F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5CB"/>
    <w:rsid w:val="00F85744"/>
    <w:rsid w:val="00F86165"/>
    <w:rsid w:val="00F862CA"/>
    <w:rsid w:val="00F863EB"/>
    <w:rsid w:val="00F86464"/>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876"/>
    <w:rsid w:val="00F92A1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854"/>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026"/>
    <w:rsid w:val="00FB0124"/>
    <w:rsid w:val="00FB0443"/>
    <w:rsid w:val="00FB0540"/>
    <w:rsid w:val="00FB1309"/>
    <w:rsid w:val="00FB15D5"/>
    <w:rsid w:val="00FB16C9"/>
    <w:rsid w:val="00FB18E8"/>
    <w:rsid w:val="00FB19D8"/>
    <w:rsid w:val="00FB1DCE"/>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C0"/>
    <w:rsid w:val="00FC6B41"/>
    <w:rsid w:val="00FC6D8C"/>
    <w:rsid w:val="00FC791E"/>
    <w:rsid w:val="00FC7F93"/>
    <w:rsid w:val="00FD04AA"/>
    <w:rsid w:val="00FD10D2"/>
    <w:rsid w:val="00FD235B"/>
    <w:rsid w:val="00FD2804"/>
    <w:rsid w:val="00FD282A"/>
    <w:rsid w:val="00FD2A71"/>
    <w:rsid w:val="00FD3124"/>
    <w:rsid w:val="00FD3905"/>
    <w:rsid w:val="00FD4CC0"/>
    <w:rsid w:val="00FD55E1"/>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50A"/>
    <w:rsid w:val="00FF1716"/>
    <w:rsid w:val="00FF1920"/>
    <w:rsid w:val="00FF1ACF"/>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F4DFAA2A-A6B0-4982-A258-B023DB60F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648A0"/>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paragraph" w:styleId="PlainText">
    <w:name w:val="Plain Text"/>
    <w:basedOn w:val="Normal"/>
    <w:link w:val="PlainTextChar"/>
    <w:uiPriority w:val="99"/>
    <w:unhideWhenUsed/>
    <w:rsid w:val="00536814"/>
    <w:pPr>
      <w:overflowPunct/>
      <w:autoSpaceDE/>
      <w:autoSpaceDN/>
      <w:adjustRightInd/>
      <w:spacing w:after="0"/>
      <w:textAlignment w:val="auto"/>
    </w:pPr>
    <w:rPr>
      <w:rFonts w:ascii="Arial" w:eastAsia="MS Gothic" w:hAnsi="Arial"/>
      <w:color w:val="000000"/>
      <w:lang w:val="x-none"/>
    </w:rPr>
  </w:style>
  <w:style w:type="character" w:customStyle="1" w:styleId="PlainTextChar">
    <w:name w:val="Plain Text Char"/>
    <w:basedOn w:val="DefaultParagraphFont"/>
    <w:link w:val="PlainText"/>
    <w:uiPriority w:val="99"/>
    <w:rsid w:val="00536814"/>
    <w:rPr>
      <w:rFonts w:ascii="Arial" w:eastAsia="MS Gothic" w:hAnsi="Arial"/>
      <w:color w:val="000000"/>
      <w:lang w:val="x-none" w:eastAsia="en-US"/>
    </w:rPr>
  </w:style>
  <w:style w:type="character" w:customStyle="1" w:styleId="TAHCar">
    <w:name w:val="TAH Car"/>
    <w:link w:val="TAH"/>
    <w:locked/>
    <w:rsid w:val="003059CF"/>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80594809">
      <w:bodyDiv w:val="1"/>
      <w:marLeft w:val="0"/>
      <w:marRight w:val="0"/>
      <w:marTop w:val="0"/>
      <w:marBottom w:val="0"/>
      <w:divBdr>
        <w:top w:val="none" w:sz="0" w:space="0" w:color="auto"/>
        <w:left w:val="none" w:sz="0" w:space="0" w:color="auto"/>
        <w:bottom w:val="none" w:sz="0" w:space="0" w:color="auto"/>
        <w:right w:val="none" w:sz="0" w:space="0" w:color="auto"/>
      </w:divBdr>
      <w:divsChild>
        <w:div w:id="1938904439">
          <w:marLeft w:val="878"/>
          <w:marRight w:val="0"/>
          <w:marTop w:val="96"/>
          <w:marBottom w:val="0"/>
          <w:divBdr>
            <w:top w:val="none" w:sz="0" w:space="0" w:color="auto"/>
            <w:left w:val="none" w:sz="0" w:space="0" w:color="auto"/>
            <w:bottom w:val="none" w:sz="0" w:space="0" w:color="auto"/>
            <w:right w:val="none" w:sz="0" w:space="0" w:color="auto"/>
          </w:divBdr>
        </w:div>
        <w:div w:id="1911382818">
          <w:marLeft w:val="1210"/>
          <w:marRight w:val="0"/>
          <w:marTop w:val="86"/>
          <w:marBottom w:val="0"/>
          <w:divBdr>
            <w:top w:val="none" w:sz="0" w:space="0" w:color="auto"/>
            <w:left w:val="none" w:sz="0" w:space="0" w:color="auto"/>
            <w:bottom w:val="none" w:sz="0" w:space="0" w:color="auto"/>
            <w:right w:val="none" w:sz="0" w:space="0" w:color="auto"/>
          </w:divBdr>
        </w:div>
        <w:div w:id="2119060658">
          <w:marLeft w:val="878"/>
          <w:marRight w:val="0"/>
          <w:marTop w:val="96"/>
          <w:marBottom w:val="0"/>
          <w:divBdr>
            <w:top w:val="none" w:sz="0" w:space="0" w:color="auto"/>
            <w:left w:val="none" w:sz="0" w:space="0" w:color="auto"/>
            <w:bottom w:val="none" w:sz="0" w:space="0" w:color="auto"/>
            <w:right w:val="none" w:sz="0" w:space="0" w:color="auto"/>
          </w:divBdr>
        </w:div>
        <w:div w:id="1765420741">
          <w:marLeft w:val="1210"/>
          <w:marRight w:val="0"/>
          <w:marTop w:val="86"/>
          <w:marBottom w:val="0"/>
          <w:divBdr>
            <w:top w:val="none" w:sz="0" w:space="0" w:color="auto"/>
            <w:left w:val="none" w:sz="0" w:space="0" w:color="auto"/>
            <w:bottom w:val="none" w:sz="0" w:space="0" w:color="auto"/>
            <w:right w:val="none" w:sz="0" w:space="0" w:color="auto"/>
          </w:divBdr>
        </w:div>
        <w:div w:id="592322870">
          <w:marLeft w:val="878"/>
          <w:marRight w:val="0"/>
          <w:marTop w:val="96"/>
          <w:marBottom w:val="0"/>
          <w:divBdr>
            <w:top w:val="none" w:sz="0" w:space="0" w:color="auto"/>
            <w:left w:val="none" w:sz="0" w:space="0" w:color="auto"/>
            <w:bottom w:val="none" w:sz="0" w:space="0" w:color="auto"/>
            <w:right w:val="none" w:sz="0" w:space="0" w:color="auto"/>
          </w:divBdr>
        </w:div>
        <w:div w:id="646666465">
          <w:marLeft w:val="1210"/>
          <w:marRight w:val="0"/>
          <w:marTop w:val="86"/>
          <w:marBottom w:val="0"/>
          <w:divBdr>
            <w:top w:val="none" w:sz="0" w:space="0" w:color="auto"/>
            <w:left w:val="none" w:sz="0" w:space="0" w:color="auto"/>
            <w:bottom w:val="none" w:sz="0" w:space="0" w:color="auto"/>
            <w:right w:val="none" w:sz="0" w:space="0" w:color="auto"/>
          </w:divBdr>
        </w:div>
        <w:div w:id="1592278381">
          <w:marLeft w:val="878"/>
          <w:marRight w:val="0"/>
          <w:marTop w:val="96"/>
          <w:marBottom w:val="0"/>
          <w:divBdr>
            <w:top w:val="none" w:sz="0" w:space="0" w:color="auto"/>
            <w:left w:val="none" w:sz="0" w:space="0" w:color="auto"/>
            <w:bottom w:val="none" w:sz="0" w:space="0" w:color="auto"/>
            <w:right w:val="none" w:sz="0" w:space="0" w:color="auto"/>
          </w:divBdr>
        </w:div>
        <w:div w:id="318920043">
          <w:marLeft w:val="1210"/>
          <w:marRight w:val="0"/>
          <w:marTop w:val="8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760334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0893030">
      <w:bodyDiv w:val="1"/>
      <w:marLeft w:val="0"/>
      <w:marRight w:val="0"/>
      <w:marTop w:val="0"/>
      <w:marBottom w:val="0"/>
      <w:divBdr>
        <w:top w:val="none" w:sz="0" w:space="0" w:color="auto"/>
        <w:left w:val="none" w:sz="0" w:space="0" w:color="auto"/>
        <w:bottom w:val="none" w:sz="0" w:space="0" w:color="auto"/>
        <w:right w:val="none" w:sz="0" w:space="0" w:color="auto"/>
      </w:divBdr>
      <w:divsChild>
        <w:div w:id="36128618">
          <w:marLeft w:val="878"/>
          <w:marRight w:val="0"/>
          <w:marTop w:val="96"/>
          <w:marBottom w:val="0"/>
          <w:divBdr>
            <w:top w:val="none" w:sz="0" w:space="0" w:color="auto"/>
            <w:left w:val="none" w:sz="0" w:space="0" w:color="auto"/>
            <w:bottom w:val="none" w:sz="0" w:space="0" w:color="auto"/>
            <w:right w:val="none" w:sz="0" w:space="0" w:color="auto"/>
          </w:divBdr>
        </w:div>
      </w:divsChild>
    </w:div>
    <w:div w:id="9822686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1981532">
      <w:bodyDiv w:val="1"/>
      <w:marLeft w:val="0"/>
      <w:marRight w:val="0"/>
      <w:marTop w:val="0"/>
      <w:marBottom w:val="0"/>
      <w:divBdr>
        <w:top w:val="none" w:sz="0" w:space="0" w:color="auto"/>
        <w:left w:val="none" w:sz="0" w:space="0" w:color="auto"/>
        <w:bottom w:val="none" w:sz="0" w:space="0" w:color="auto"/>
        <w:right w:val="none" w:sz="0" w:space="0" w:color="auto"/>
      </w:divBdr>
      <w:divsChild>
        <w:div w:id="1011223721">
          <w:marLeft w:val="403"/>
          <w:marRight w:val="0"/>
          <w:marTop w:val="115"/>
          <w:marBottom w:val="0"/>
          <w:divBdr>
            <w:top w:val="none" w:sz="0" w:space="0" w:color="auto"/>
            <w:left w:val="none" w:sz="0" w:space="0" w:color="auto"/>
            <w:bottom w:val="none" w:sz="0" w:space="0" w:color="auto"/>
            <w:right w:val="none" w:sz="0" w:space="0" w:color="auto"/>
          </w:divBdr>
        </w:div>
        <w:div w:id="1500660656">
          <w:marLeft w:val="878"/>
          <w:marRight w:val="0"/>
          <w:marTop w:val="96"/>
          <w:marBottom w:val="0"/>
          <w:divBdr>
            <w:top w:val="none" w:sz="0" w:space="0" w:color="auto"/>
            <w:left w:val="none" w:sz="0" w:space="0" w:color="auto"/>
            <w:bottom w:val="none" w:sz="0" w:space="0" w:color="auto"/>
            <w:right w:val="none" w:sz="0" w:space="0" w:color="auto"/>
          </w:divBdr>
        </w:div>
        <w:div w:id="166945965">
          <w:marLeft w:val="878"/>
          <w:marRight w:val="0"/>
          <w:marTop w:val="96"/>
          <w:marBottom w:val="0"/>
          <w:divBdr>
            <w:top w:val="none" w:sz="0" w:space="0" w:color="auto"/>
            <w:left w:val="none" w:sz="0" w:space="0" w:color="auto"/>
            <w:bottom w:val="none" w:sz="0" w:space="0" w:color="auto"/>
            <w:right w:val="none" w:sz="0" w:space="0" w:color="auto"/>
          </w:divBdr>
        </w:div>
        <w:div w:id="655109399">
          <w:marLeft w:val="403"/>
          <w:marRight w:val="0"/>
          <w:marTop w:val="115"/>
          <w:marBottom w:val="0"/>
          <w:divBdr>
            <w:top w:val="none" w:sz="0" w:space="0" w:color="auto"/>
            <w:left w:val="none" w:sz="0" w:space="0" w:color="auto"/>
            <w:bottom w:val="none" w:sz="0" w:space="0" w:color="auto"/>
            <w:right w:val="none" w:sz="0" w:space="0" w:color="auto"/>
          </w:divBdr>
        </w:div>
        <w:div w:id="1488980139">
          <w:marLeft w:val="1210"/>
          <w:marRight w:val="0"/>
          <w:marTop w:val="86"/>
          <w:marBottom w:val="0"/>
          <w:divBdr>
            <w:top w:val="none" w:sz="0" w:space="0" w:color="auto"/>
            <w:left w:val="none" w:sz="0" w:space="0" w:color="auto"/>
            <w:bottom w:val="none" w:sz="0" w:space="0" w:color="auto"/>
            <w:right w:val="none" w:sz="0" w:space="0" w:color="auto"/>
          </w:divBdr>
        </w:div>
        <w:div w:id="1685014313">
          <w:marLeft w:val="1210"/>
          <w:marRight w:val="0"/>
          <w:marTop w:val="86"/>
          <w:marBottom w:val="0"/>
          <w:divBdr>
            <w:top w:val="none" w:sz="0" w:space="0" w:color="auto"/>
            <w:left w:val="none" w:sz="0" w:space="0" w:color="auto"/>
            <w:bottom w:val="none" w:sz="0" w:space="0" w:color="auto"/>
            <w:right w:val="none" w:sz="0" w:space="0" w:color="auto"/>
          </w:divBdr>
        </w:div>
        <w:div w:id="356809839">
          <w:marLeft w:val="1555"/>
          <w:marRight w:val="0"/>
          <w:marTop w:val="77"/>
          <w:marBottom w:val="0"/>
          <w:divBdr>
            <w:top w:val="none" w:sz="0" w:space="0" w:color="auto"/>
            <w:left w:val="none" w:sz="0" w:space="0" w:color="auto"/>
            <w:bottom w:val="none" w:sz="0" w:space="0" w:color="auto"/>
            <w:right w:val="none" w:sz="0" w:space="0" w:color="auto"/>
          </w:divBdr>
        </w:div>
        <w:div w:id="1149131264">
          <w:marLeft w:val="403"/>
          <w:marRight w:val="0"/>
          <w:marTop w:val="115"/>
          <w:marBottom w:val="0"/>
          <w:divBdr>
            <w:top w:val="none" w:sz="0" w:space="0" w:color="auto"/>
            <w:left w:val="none" w:sz="0" w:space="0" w:color="auto"/>
            <w:bottom w:val="none" w:sz="0" w:space="0" w:color="auto"/>
            <w:right w:val="none" w:sz="0" w:space="0" w:color="auto"/>
          </w:divBdr>
        </w:div>
        <w:div w:id="401804675">
          <w:marLeft w:val="878"/>
          <w:marRight w:val="0"/>
          <w:marTop w:val="96"/>
          <w:marBottom w:val="0"/>
          <w:divBdr>
            <w:top w:val="none" w:sz="0" w:space="0" w:color="auto"/>
            <w:left w:val="none" w:sz="0" w:space="0" w:color="auto"/>
            <w:bottom w:val="none" w:sz="0" w:space="0" w:color="auto"/>
            <w:right w:val="none" w:sz="0" w:space="0" w:color="auto"/>
          </w:divBdr>
        </w:div>
        <w:div w:id="405995785">
          <w:marLeft w:val="1210"/>
          <w:marRight w:val="0"/>
          <w:marTop w:val="86"/>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68012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88281060">
      <w:bodyDiv w:val="1"/>
      <w:marLeft w:val="0"/>
      <w:marRight w:val="0"/>
      <w:marTop w:val="0"/>
      <w:marBottom w:val="0"/>
      <w:divBdr>
        <w:top w:val="none" w:sz="0" w:space="0" w:color="auto"/>
        <w:left w:val="none" w:sz="0" w:space="0" w:color="auto"/>
        <w:bottom w:val="none" w:sz="0" w:space="0" w:color="auto"/>
        <w:right w:val="none" w:sz="0" w:space="0" w:color="auto"/>
      </w:divBdr>
      <w:divsChild>
        <w:div w:id="146092472">
          <w:marLeft w:val="878"/>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4.bin"/><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HR33RHYHUWRF-4-1746</_dlc_DocId>
    <_dlc_DocIdUrl xmlns="c06861ca-3f08-4d07-bff7-bb15bac121f4">
      <Url>https://projects.qualcomm.com/sites/pentari/_layouts/15/DocIdRedir.aspx?ID=HR33RHYHUWRF-4-1746</Url>
      <Description>HR33RHYHUWRF-4-1746</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3.xml><?xml version="1.0" encoding="utf-8"?>
<ds:datastoreItem xmlns:ds="http://schemas.openxmlformats.org/officeDocument/2006/customXml" ds:itemID="{116A3DDA-9732-4B93-9B30-9DD3B31DC3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5.xml><?xml version="1.0" encoding="utf-8"?>
<ds:datastoreItem xmlns:ds="http://schemas.openxmlformats.org/officeDocument/2006/customXml" ds:itemID="{BE5BCF7F-CB0A-4C74-88F1-2F8B1AF727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2</Pages>
  <Words>507</Words>
  <Characters>2890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3391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Alberto Rico Alvarino</cp:lastModifiedBy>
  <cp:revision>6</cp:revision>
  <cp:lastPrinted>2014-11-07T05:38:00Z</cp:lastPrinted>
  <dcterms:created xsi:type="dcterms:W3CDTF">2017-05-05T18:09:00Z</dcterms:created>
  <dcterms:modified xsi:type="dcterms:W3CDTF">2018-02-17T02:40:00Z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-738167667</vt:i4>
  </property>
  <property fmtid="{D5CDD505-2E9C-101B-9397-08002B2CF9AE}" pid="3" name="_NewReviewCycle">
    <vt:lpwstr/>
  </property>
  <property fmtid="{D5CDD505-2E9C-101B-9397-08002B2CF9AE}" pid="4" name="_EmailSubject">
    <vt:lpwstr>Draft contributions on sub-RB allocation</vt:lpwstr>
  </property>
  <property fmtid="{D5CDD505-2E9C-101B-9397-08002B2CF9AE}" pid="5" name="_AuthorEmail">
    <vt:lpwstr>kbhattad@qti.qualcomm.com</vt:lpwstr>
  </property>
  <property fmtid="{D5CDD505-2E9C-101B-9397-08002B2CF9AE}" pid="6" name="_AuthorEmailDisplayName">
    <vt:lpwstr>Kapil Bhattad</vt:lpwstr>
  </property>
  <property fmtid="{D5CDD505-2E9C-101B-9397-08002B2CF9AE}" pid="7" name="_PreviousAdHocReviewCycleID">
    <vt:i4>-1754591238</vt:i4>
  </property>
  <property fmtid="{D5CDD505-2E9C-101B-9397-08002B2CF9AE}" pid="8" name="ContentTypeId">
    <vt:lpwstr>0x010100BC29BFD66497B943AA3B102F0C7B1355</vt:lpwstr>
  </property>
  <property fmtid="{D5CDD505-2E9C-101B-9397-08002B2CF9AE}" pid="9" name="_dlc_DocIdItemGuid">
    <vt:lpwstr>bb0765d1-8617-4252-bc4a-8adc09dc404f</vt:lpwstr>
  </property>
  <property fmtid="{D5CDD505-2E9C-101B-9397-08002B2CF9AE}" pid="10" name="_ReviewingToolsShownOnce">
    <vt:lpwstr/>
  </property>
</Properties>
</file>